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EE8" w:rsidRDefault="00254EE8" w:rsidP="00254EE8">
      <w:pPr>
        <w:shd w:val="clear" w:color="auto" w:fill="FFFFFF"/>
        <w:jc w:val="center"/>
        <w:rPr>
          <w:b/>
          <w:sz w:val="28"/>
          <w:szCs w:val="28"/>
        </w:rPr>
      </w:pPr>
      <w:r w:rsidRPr="00C977B8">
        <w:rPr>
          <w:b/>
          <w:sz w:val="28"/>
          <w:szCs w:val="28"/>
        </w:rPr>
        <w:t xml:space="preserve">МИНИСТЕРСТВО ЗДРАВООХРАНЕНИЯ </w:t>
      </w:r>
    </w:p>
    <w:p w:rsidR="00254EE8" w:rsidRDefault="00254EE8" w:rsidP="00254EE8">
      <w:pPr>
        <w:shd w:val="clear" w:color="auto" w:fill="FFFFFF"/>
        <w:jc w:val="center"/>
        <w:rPr>
          <w:b/>
          <w:sz w:val="28"/>
          <w:szCs w:val="28"/>
        </w:rPr>
      </w:pPr>
      <w:r>
        <w:rPr>
          <w:b/>
          <w:sz w:val="28"/>
          <w:szCs w:val="28"/>
        </w:rPr>
        <w:t>КЫРГЫЗСКОЙ РЕСПУБЛИКИ</w:t>
      </w:r>
    </w:p>
    <w:p w:rsidR="00254EE8" w:rsidRPr="00870A70" w:rsidRDefault="00254EE8" w:rsidP="00254EE8">
      <w:pPr>
        <w:shd w:val="clear" w:color="auto" w:fill="FFFFFF"/>
        <w:jc w:val="center"/>
        <w:rPr>
          <w:b/>
          <w:sz w:val="28"/>
          <w:szCs w:val="28"/>
        </w:rPr>
      </w:pPr>
    </w:p>
    <w:p w:rsidR="00254EE8" w:rsidRDefault="00254EE8" w:rsidP="00254EE8">
      <w:pPr>
        <w:ind w:firstLine="709"/>
        <w:jc w:val="center"/>
        <w:rPr>
          <w:b/>
          <w:sz w:val="28"/>
          <w:szCs w:val="28"/>
        </w:rPr>
      </w:pPr>
      <w:r w:rsidRPr="00DD5FB5">
        <w:rPr>
          <w:b/>
          <w:sz w:val="28"/>
          <w:szCs w:val="28"/>
        </w:rPr>
        <w:t xml:space="preserve">КЫРГЫЗСКАЯ ГОСУДАРСТВЕННАЯ МЕДИЦИНСКАЯ АКАДЕМИЯ </w:t>
      </w:r>
      <w:r>
        <w:rPr>
          <w:b/>
          <w:sz w:val="28"/>
          <w:szCs w:val="28"/>
        </w:rPr>
        <w:t>им</w:t>
      </w:r>
      <w:r w:rsidRPr="00DD5FB5">
        <w:rPr>
          <w:b/>
          <w:sz w:val="28"/>
          <w:szCs w:val="28"/>
        </w:rPr>
        <w:t>. И.К. АХУНБАЕВА</w:t>
      </w:r>
    </w:p>
    <w:p w:rsidR="00254EE8" w:rsidRDefault="00254EE8" w:rsidP="00254EE8">
      <w:pPr>
        <w:ind w:firstLine="709"/>
        <w:jc w:val="center"/>
        <w:rPr>
          <w:b/>
          <w:sz w:val="28"/>
          <w:szCs w:val="28"/>
        </w:rPr>
      </w:pPr>
    </w:p>
    <w:p w:rsidR="00254EE8" w:rsidRPr="00671AF4" w:rsidRDefault="00254EE8" w:rsidP="00254EE8">
      <w:pPr>
        <w:ind w:firstLine="709"/>
        <w:jc w:val="center"/>
        <w:rPr>
          <w:sz w:val="28"/>
          <w:szCs w:val="28"/>
        </w:rPr>
      </w:pPr>
      <w:r w:rsidRPr="00671AF4">
        <w:rPr>
          <w:sz w:val="28"/>
          <w:szCs w:val="28"/>
        </w:rPr>
        <w:t>Диссертационный совет</w:t>
      </w:r>
      <w:r>
        <w:rPr>
          <w:sz w:val="28"/>
          <w:szCs w:val="28"/>
        </w:rPr>
        <w:t xml:space="preserve"> </w:t>
      </w:r>
      <w:r w:rsidR="009E2E6E">
        <w:rPr>
          <w:b/>
          <w:sz w:val="28"/>
          <w:szCs w:val="28"/>
        </w:rPr>
        <w:t>Д.14.14.393</w:t>
      </w:r>
    </w:p>
    <w:p w:rsidR="00254EE8" w:rsidRDefault="00254EE8" w:rsidP="00254EE8">
      <w:pPr>
        <w:shd w:val="clear" w:color="auto" w:fill="FFFFFF"/>
        <w:ind w:firstLine="709"/>
        <w:jc w:val="right"/>
      </w:pPr>
    </w:p>
    <w:p w:rsidR="00254EE8" w:rsidRDefault="00254EE8" w:rsidP="00254EE8">
      <w:pPr>
        <w:shd w:val="clear" w:color="auto" w:fill="FFFFFF"/>
        <w:ind w:firstLine="709"/>
        <w:jc w:val="right"/>
      </w:pPr>
    </w:p>
    <w:p w:rsidR="00254EE8" w:rsidRPr="00671AF4" w:rsidRDefault="00254EE8" w:rsidP="00254EE8">
      <w:pPr>
        <w:shd w:val="clear" w:color="auto" w:fill="FFFFFF"/>
        <w:ind w:firstLine="709"/>
        <w:jc w:val="right"/>
        <w:rPr>
          <w:sz w:val="28"/>
          <w:szCs w:val="28"/>
        </w:rPr>
      </w:pPr>
      <w:r w:rsidRPr="00671AF4">
        <w:rPr>
          <w:sz w:val="28"/>
          <w:szCs w:val="28"/>
        </w:rPr>
        <w:t>На правах рукописи</w:t>
      </w:r>
    </w:p>
    <w:p w:rsidR="00254EE8" w:rsidRPr="00885CC4" w:rsidRDefault="00254EE8" w:rsidP="00254EE8">
      <w:pPr>
        <w:shd w:val="clear" w:color="auto" w:fill="FFFFFF"/>
        <w:ind w:firstLine="708"/>
        <w:jc w:val="right"/>
        <w:rPr>
          <w:b/>
          <w:bCs/>
          <w:color w:val="000000"/>
          <w:sz w:val="28"/>
          <w:szCs w:val="28"/>
        </w:rPr>
      </w:pPr>
      <w:r w:rsidRPr="00885CC4">
        <w:rPr>
          <w:b/>
          <w:bCs/>
          <w:color w:val="000000"/>
          <w:sz w:val="28"/>
          <w:szCs w:val="28"/>
        </w:rPr>
        <w:t xml:space="preserve">УДК: </w:t>
      </w:r>
      <w:r>
        <w:rPr>
          <w:b/>
          <w:bCs/>
          <w:color w:val="000000"/>
          <w:sz w:val="28"/>
          <w:szCs w:val="28"/>
        </w:rPr>
        <w:t>616.314.18-002.4:615.779.9</w:t>
      </w:r>
    </w:p>
    <w:p w:rsidR="00254EE8" w:rsidRDefault="00254EE8" w:rsidP="00254EE8">
      <w:pPr>
        <w:shd w:val="clear" w:color="auto" w:fill="FFFFFF"/>
        <w:jc w:val="both"/>
        <w:rPr>
          <w:bCs/>
          <w:color w:val="000000"/>
          <w:sz w:val="28"/>
          <w:szCs w:val="28"/>
        </w:rPr>
      </w:pPr>
    </w:p>
    <w:p w:rsidR="00254EE8" w:rsidRDefault="00254EE8" w:rsidP="00254EE8">
      <w:pPr>
        <w:shd w:val="clear" w:color="auto" w:fill="FFFFFF"/>
        <w:jc w:val="both"/>
        <w:rPr>
          <w:bCs/>
          <w:color w:val="000000"/>
          <w:sz w:val="28"/>
          <w:szCs w:val="28"/>
        </w:rPr>
      </w:pPr>
    </w:p>
    <w:p w:rsidR="00254EE8" w:rsidRDefault="00254EE8" w:rsidP="00254EE8">
      <w:pPr>
        <w:shd w:val="clear" w:color="auto" w:fill="FFFFFF"/>
        <w:jc w:val="both"/>
        <w:rPr>
          <w:bCs/>
          <w:color w:val="000000"/>
          <w:sz w:val="28"/>
          <w:szCs w:val="28"/>
        </w:rPr>
      </w:pPr>
    </w:p>
    <w:p w:rsidR="00254EE8" w:rsidRPr="005C1F06" w:rsidRDefault="00254EE8" w:rsidP="00254EE8">
      <w:pPr>
        <w:shd w:val="clear" w:color="auto" w:fill="FFFFFF"/>
        <w:ind w:firstLine="708"/>
        <w:jc w:val="center"/>
        <w:rPr>
          <w:bCs/>
          <w:color w:val="000000"/>
          <w:sz w:val="32"/>
          <w:szCs w:val="32"/>
        </w:rPr>
      </w:pPr>
      <w:r w:rsidRPr="005C1F06">
        <w:rPr>
          <w:b/>
          <w:sz w:val="32"/>
          <w:szCs w:val="32"/>
        </w:rPr>
        <w:t xml:space="preserve">Иманалиева Ализа </w:t>
      </w:r>
      <w:r>
        <w:rPr>
          <w:b/>
          <w:sz w:val="32"/>
          <w:szCs w:val="32"/>
        </w:rPr>
        <w:t>Дж</w:t>
      </w:r>
      <w:r w:rsidRPr="005C1F06">
        <w:rPr>
          <w:b/>
          <w:sz w:val="32"/>
          <w:szCs w:val="32"/>
        </w:rPr>
        <w:t>екшеновна</w:t>
      </w:r>
    </w:p>
    <w:p w:rsidR="00254EE8" w:rsidRDefault="00254EE8" w:rsidP="00254EE8">
      <w:pPr>
        <w:jc w:val="center"/>
        <w:rPr>
          <w:b/>
          <w:caps/>
          <w:sz w:val="28"/>
          <w:szCs w:val="28"/>
        </w:rPr>
      </w:pPr>
    </w:p>
    <w:p w:rsidR="00254EE8" w:rsidRPr="00510BC4" w:rsidRDefault="00254EE8" w:rsidP="00254EE8">
      <w:pPr>
        <w:jc w:val="center"/>
        <w:rPr>
          <w:b/>
          <w:caps/>
          <w:sz w:val="28"/>
          <w:szCs w:val="28"/>
        </w:rPr>
      </w:pPr>
    </w:p>
    <w:p w:rsidR="00254EE8" w:rsidRDefault="00254EE8" w:rsidP="00254EE8">
      <w:pPr>
        <w:jc w:val="center"/>
        <w:rPr>
          <w:b/>
          <w:sz w:val="32"/>
          <w:szCs w:val="32"/>
        </w:rPr>
      </w:pPr>
      <w:r>
        <w:rPr>
          <w:b/>
          <w:sz w:val="32"/>
          <w:szCs w:val="32"/>
        </w:rPr>
        <w:t>ФАРМАКОЭПИДЕМИОЛОГИЧЕСКАЯ, ФАРМАКОЭКОНОМИЧЕСКАЯ ОЦЕНКА</w:t>
      </w:r>
    </w:p>
    <w:p w:rsidR="00254EE8" w:rsidRDefault="00254EE8" w:rsidP="00254EE8">
      <w:pPr>
        <w:jc w:val="center"/>
        <w:rPr>
          <w:b/>
          <w:sz w:val="32"/>
          <w:szCs w:val="32"/>
        </w:rPr>
      </w:pPr>
      <w:r>
        <w:rPr>
          <w:b/>
          <w:sz w:val="32"/>
          <w:szCs w:val="32"/>
        </w:rPr>
        <w:t>И ПУТИ РАЦИОНАЛИЗАЦИИ ЛЕЧЕНИЯ</w:t>
      </w:r>
    </w:p>
    <w:p w:rsidR="00254EE8" w:rsidRPr="00815CD5" w:rsidRDefault="00254EE8" w:rsidP="00254EE8">
      <w:pPr>
        <w:jc w:val="center"/>
        <w:rPr>
          <w:b/>
          <w:caps/>
          <w:sz w:val="32"/>
          <w:szCs w:val="32"/>
        </w:rPr>
      </w:pPr>
      <w:r w:rsidRPr="00AE33D4">
        <w:rPr>
          <w:b/>
          <w:sz w:val="32"/>
          <w:szCs w:val="32"/>
        </w:rPr>
        <w:t>ХРОНИЧЕСКОГО ПАРОДОНТИТА</w:t>
      </w:r>
    </w:p>
    <w:p w:rsidR="00254EE8" w:rsidRDefault="00254EE8" w:rsidP="00254EE8">
      <w:pPr>
        <w:jc w:val="center"/>
        <w:rPr>
          <w:b/>
          <w:caps/>
          <w:sz w:val="28"/>
          <w:szCs w:val="28"/>
        </w:rPr>
      </w:pPr>
    </w:p>
    <w:p w:rsidR="00DC1FA5" w:rsidRDefault="00DC1FA5" w:rsidP="00254EE8">
      <w:pPr>
        <w:jc w:val="center"/>
        <w:rPr>
          <w:b/>
          <w:caps/>
          <w:sz w:val="28"/>
          <w:szCs w:val="28"/>
        </w:rPr>
      </w:pPr>
    </w:p>
    <w:p w:rsidR="00DC1FA5" w:rsidRDefault="00DC1FA5" w:rsidP="00254EE8">
      <w:pPr>
        <w:jc w:val="center"/>
        <w:rPr>
          <w:b/>
          <w:caps/>
          <w:sz w:val="28"/>
          <w:szCs w:val="28"/>
        </w:rPr>
      </w:pPr>
    </w:p>
    <w:p w:rsidR="00254EE8" w:rsidRDefault="00254EE8" w:rsidP="00254EE8">
      <w:pPr>
        <w:jc w:val="center"/>
        <w:rPr>
          <w:b/>
          <w:sz w:val="28"/>
          <w:szCs w:val="28"/>
        </w:rPr>
      </w:pPr>
      <w:r w:rsidRPr="008D6ACD">
        <w:rPr>
          <w:b/>
          <w:sz w:val="28"/>
          <w:szCs w:val="28"/>
        </w:rPr>
        <w:t>14.03.06</w:t>
      </w:r>
      <w:r>
        <w:rPr>
          <w:b/>
          <w:sz w:val="28"/>
          <w:szCs w:val="28"/>
        </w:rPr>
        <w:t xml:space="preserve"> – фармакология, </w:t>
      </w:r>
      <w:r w:rsidRPr="00563FC8">
        <w:rPr>
          <w:b/>
          <w:sz w:val="28"/>
          <w:szCs w:val="28"/>
        </w:rPr>
        <w:t>клиническая фармакология</w:t>
      </w:r>
      <w:r>
        <w:rPr>
          <w:b/>
          <w:sz w:val="28"/>
          <w:szCs w:val="28"/>
        </w:rPr>
        <w:t>,</w:t>
      </w:r>
    </w:p>
    <w:p w:rsidR="00254EE8" w:rsidRPr="00EB3736" w:rsidRDefault="00254EE8" w:rsidP="00254EE8">
      <w:pPr>
        <w:jc w:val="center"/>
        <w:rPr>
          <w:sz w:val="28"/>
          <w:szCs w:val="28"/>
        </w:rPr>
      </w:pPr>
      <w:r>
        <w:rPr>
          <w:b/>
          <w:sz w:val="28"/>
          <w:szCs w:val="28"/>
        </w:rPr>
        <w:t>14.01.14 - стоматология</w:t>
      </w:r>
    </w:p>
    <w:p w:rsidR="00254EE8" w:rsidRPr="00EB3736" w:rsidRDefault="00254EE8" w:rsidP="00254EE8">
      <w:pPr>
        <w:rPr>
          <w:sz w:val="28"/>
          <w:szCs w:val="28"/>
        </w:rPr>
      </w:pPr>
    </w:p>
    <w:p w:rsidR="00254EE8" w:rsidRDefault="00254EE8" w:rsidP="00254EE8">
      <w:pPr>
        <w:jc w:val="center"/>
        <w:rPr>
          <w:b/>
          <w:sz w:val="28"/>
          <w:szCs w:val="28"/>
        </w:rPr>
      </w:pPr>
    </w:p>
    <w:p w:rsidR="00DC1FA5" w:rsidRDefault="00DC1FA5" w:rsidP="00254EE8">
      <w:pPr>
        <w:jc w:val="center"/>
        <w:rPr>
          <w:b/>
          <w:sz w:val="28"/>
          <w:szCs w:val="28"/>
        </w:rPr>
      </w:pPr>
    </w:p>
    <w:p w:rsidR="00DC1FA5" w:rsidRDefault="00DC1FA5" w:rsidP="00254EE8">
      <w:pPr>
        <w:jc w:val="center"/>
        <w:rPr>
          <w:b/>
          <w:sz w:val="28"/>
          <w:szCs w:val="28"/>
        </w:rPr>
      </w:pPr>
    </w:p>
    <w:p w:rsidR="00254EE8" w:rsidRDefault="00254EE8" w:rsidP="00254EE8">
      <w:pPr>
        <w:jc w:val="center"/>
        <w:rPr>
          <w:b/>
          <w:sz w:val="28"/>
          <w:szCs w:val="28"/>
        </w:rPr>
      </w:pPr>
    </w:p>
    <w:p w:rsidR="00254EE8" w:rsidRPr="005C1F06" w:rsidRDefault="00254EE8" w:rsidP="00254EE8">
      <w:pPr>
        <w:jc w:val="center"/>
        <w:rPr>
          <w:b/>
          <w:sz w:val="28"/>
          <w:szCs w:val="28"/>
        </w:rPr>
      </w:pPr>
      <w:r w:rsidRPr="005C1F06">
        <w:rPr>
          <w:b/>
          <w:sz w:val="28"/>
          <w:szCs w:val="28"/>
        </w:rPr>
        <w:t xml:space="preserve">Автореферат </w:t>
      </w:r>
    </w:p>
    <w:p w:rsidR="00254EE8" w:rsidRPr="005C1F06" w:rsidRDefault="00254EE8" w:rsidP="00254EE8">
      <w:pPr>
        <w:jc w:val="center"/>
        <w:rPr>
          <w:b/>
          <w:sz w:val="28"/>
          <w:szCs w:val="28"/>
        </w:rPr>
      </w:pPr>
      <w:r w:rsidRPr="005C1F06">
        <w:rPr>
          <w:b/>
          <w:sz w:val="28"/>
          <w:szCs w:val="28"/>
        </w:rPr>
        <w:t>диссертации на соискание ученой степени</w:t>
      </w:r>
    </w:p>
    <w:p w:rsidR="00254EE8" w:rsidRPr="005C1F06" w:rsidRDefault="00254EE8" w:rsidP="00254EE8">
      <w:pPr>
        <w:jc w:val="center"/>
        <w:rPr>
          <w:b/>
        </w:rPr>
      </w:pPr>
      <w:r w:rsidRPr="005C1F06">
        <w:rPr>
          <w:b/>
          <w:sz w:val="28"/>
          <w:szCs w:val="28"/>
        </w:rPr>
        <w:t>кандидата медицинских наук</w:t>
      </w:r>
    </w:p>
    <w:p w:rsidR="00254EE8" w:rsidRPr="00671AF4" w:rsidRDefault="00254EE8" w:rsidP="00254EE8">
      <w:pPr>
        <w:jc w:val="center"/>
      </w:pPr>
    </w:p>
    <w:p w:rsidR="00254EE8" w:rsidRDefault="00254EE8" w:rsidP="00254EE8"/>
    <w:p w:rsidR="00254EE8" w:rsidRDefault="00254EE8" w:rsidP="00254EE8">
      <w:pPr>
        <w:rPr>
          <w:sz w:val="28"/>
          <w:szCs w:val="28"/>
        </w:rPr>
      </w:pPr>
    </w:p>
    <w:p w:rsidR="00254EE8" w:rsidRDefault="00254EE8" w:rsidP="00254EE8">
      <w:pPr>
        <w:jc w:val="center"/>
        <w:rPr>
          <w:b/>
          <w:sz w:val="28"/>
          <w:szCs w:val="28"/>
        </w:rPr>
      </w:pPr>
    </w:p>
    <w:p w:rsidR="00DC1FA5" w:rsidRDefault="00DC1FA5" w:rsidP="00254EE8">
      <w:pPr>
        <w:jc w:val="center"/>
        <w:rPr>
          <w:b/>
          <w:sz w:val="28"/>
          <w:szCs w:val="28"/>
        </w:rPr>
      </w:pPr>
    </w:p>
    <w:p w:rsidR="00DC1FA5" w:rsidRDefault="00DC1FA5" w:rsidP="00254EE8">
      <w:pPr>
        <w:jc w:val="center"/>
        <w:rPr>
          <w:b/>
          <w:sz w:val="28"/>
          <w:szCs w:val="28"/>
        </w:rPr>
      </w:pPr>
    </w:p>
    <w:p w:rsidR="00DC1FA5" w:rsidRDefault="00DC1FA5" w:rsidP="00254EE8">
      <w:pPr>
        <w:jc w:val="center"/>
        <w:rPr>
          <w:b/>
          <w:sz w:val="28"/>
          <w:szCs w:val="28"/>
        </w:rPr>
      </w:pPr>
    </w:p>
    <w:p w:rsidR="00254EE8" w:rsidRPr="00D83BCE" w:rsidRDefault="00254EE8" w:rsidP="00254EE8">
      <w:pPr>
        <w:jc w:val="center"/>
        <w:rPr>
          <w:b/>
          <w:sz w:val="28"/>
          <w:szCs w:val="28"/>
        </w:rPr>
      </w:pPr>
      <w:r>
        <w:rPr>
          <w:b/>
          <w:sz w:val="28"/>
          <w:szCs w:val="28"/>
        </w:rPr>
        <w:t>Бишкек 2015</w:t>
      </w:r>
    </w:p>
    <w:p w:rsidR="00254EE8" w:rsidRDefault="00254EE8" w:rsidP="00254EE8">
      <w:pPr>
        <w:jc w:val="center"/>
        <w:rPr>
          <w:sz w:val="28"/>
          <w:szCs w:val="28"/>
        </w:rPr>
      </w:pPr>
      <w:r>
        <w:rPr>
          <w:sz w:val="28"/>
          <w:szCs w:val="28"/>
        </w:rPr>
        <w:br w:type="page"/>
      </w:r>
      <w:r w:rsidRPr="00E009CE">
        <w:rPr>
          <w:sz w:val="28"/>
          <w:szCs w:val="28"/>
        </w:rPr>
        <w:lastRenderedPageBreak/>
        <w:t xml:space="preserve">Работа выполнена в </w:t>
      </w:r>
      <w:r>
        <w:rPr>
          <w:sz w:val="28"/>
          <w:szCs w:val="28"/>
        </w:rPr>
        <w:t>Кыргызской государственной медицинской академии</w:t>
      </w:r>
    </w:p>
    <w:p w:rsidR="00254EE8" w:rsidRDefault="00254EE8" w:rsidP="00254EE8">
      <w:pPr>
        <w:jc w:val="center"/>
        <w:rPr>
          <w:sz w:val="28"/>
          <w:szCs w:val="28"/>
        </w:rPr>
      </w:pPr>
      <w:r>
        <w:rPr>
          <w:sz w:val="28"/>
          <w:szCs w:val="28"/>
        </w:rPr>
        <w:t>им. И.К. Ахунбаева</w:t>
      </w:r>
    </w:p>
    <w:p w:rsidR="00254EE8" w:rsidRDefault="00254EE8" w:rsidP="00254EE8">
      <w:pPr>
        <w:rPr>
          <w:sz w:val="28"/>
          <w:szCs w:val="28"/>
        </w:rPr>
      </w:pPr>
    </w:p>
    <w:p w:rsidR="00254EE8" w:rsidRDefault="00254EE8" w:rsidP="00254EE8">
      <w:pPr>
        <w:rPr>
          <w:sz w:val="28"/>
          <w:szCs w:val="28"/>
        </w:rPr>
      </w:pPr>
    </w:p>
    <w:p w:rsidR="00254EE8" w:rsidRDefault="00254EE8" w:rsidP="00254EE8">
      <w:pPr>
        <w:rPr>
          <w:sz w:val="28"/>
          <w:szCs w:val="28"/>
        </w:rPr>
      </w:pPr>
    </w:p>
    <w:p w:rsidR="00254EE8" w:rsidRPr="00E009CE" w:rsidRDefault="00254EE8" w:rsidP="00254EE8">
      <w:pPr>
        <w:rPr>
          <w:sz w:val="28"/>
          <w:szCs w:val="28"/>
        </w:rPr>
      </w:pPr>
    </w:p>
    <w:p w:rsidR="00254EE8" w:rsidRDefault="00254EE8" w:rsidP="00254EE8">
      <w:pPr>
        <w:jc w:val="both"/>
        <w:rPr>
          <w:sz w:val="28"/>
          <w:szCs w:val="28"/>
        </w:rPr>
      </w:pPr>
      <w:r w:rsidRPr="00E009CE">
        <w:rPr>
          <w:b/>
          <w:sz w:val="28"/>
          <w:szCs w:val="28"/>
        </w:rPr>
        <w:t>Научны</w:t>
      </w:r>
      <w:r>
        <w:rPr>
          <w:b/>
          <w:sz w:val="28"/>
          <w:szCs w:val="28"/>
        </w:rPr>
        <w:t>е</w:t>
      </w:r>
      <w:r w:rsidRPr="00E009CE">
        <w:rPr>
          <w:b/>
          <w:sz w:val="28"/>
          <w:szCs w:val="28"/>
        </w:rPr>
        <w:t xml:space="preserve"> руководител</w:t>
      </w:r>
      <w:r>
        <w:rPr>
          <w:b/>
          <w:sz w:val="28"/>
          <w:szCs w:val="28"/>
        </w:rPr>
        <w:t xml:space="preserve">и: </w:t>
      </w:r>
      <w:r>
        <w:rPr>
          <w:b/>
          <w:sz w:val="28"/>
          <w:szCs w:val="28"/>
        </w:rPr>
        <w:tab/>
        <w:t xml:space="preserve"> </w:t>
      </w:r>
      <w:r>
        <w:rPr>
          <w:b/>
          <w:sz w:val="28"/>
          <w:szCs w:val="28"/>
        </w:rPr>
        <w:tab/>
      </w:r>
      <w:r w:rsidRPr="00671AF4">
        <w:rPr>
          <w:sz w:val="28"/>
          <w:szCs w:val="28"/>
        </w:rPr>
        <w:t xml:space="preserve">член-корр. НАН КР, д.м.н., профессор </w:t>
      </w:r>
    </w:p>
    <w:p w:rsidR="00254EE8" w:rsidRDefault="00254EE8" w:rsidP="00254EE8">
      <w:pPr>
        <w:ind w:left="2832"/>
        <w:jc w:val="both"/>
        <w:rPr>
          <w:sz w:val="28"/>
          <w:szCs w:val="28"/>
        </w:rPr>
      </w:pPr>
      <w:r>
        <w:rPr>
          <w:sz w:val="28"/>
          <w:szCs w:val="28"/>
        </w:rPr>
        <w:tab/>
        <w:t xml:space="preserve"> </w:t>
      </w:r>
      <w:r>
        <w:rPr>
          <w:sz w:val="28"/>
          <w:szCs w:val="28"/>
        </w:rPr>
        <w:tab/>
        <w:t>З</w:t>
      </w:r>
      <w:r w:rsidRPr="00671AF4">
        <w:rPr>
          <w:sz w:val="28"/>
          <w:szCs w:val="28"/>
        </w:rPr>
        <w:t xml:space="preserve">урдинов </w:t>
      </w:r>
      <w:r>
        <w:rPr>
          <w:sz w:val="28"/>
          <w:szCs w:val="28"/>
        </w:rPr>
        <w:t>Аширали Зурдинович;</w:t>
      </w:r>
    </w:p>
    <w:p w:rsidR="00254EE8" w:rsidRPr="00671AF4" w:rsidRDefault="00254EE8" w:rsidP="00254EE8">
      <w:pPr>
        <w:ind w:left="2832"/>
        <w:jc w:val="both"/>
        <w:rPr>
          <w:sz w:val="28"/>
          <w:szCs w:val="28"/>
        </w:rPr>
      </w:pPr>
      <w:r>
        <w:rPr>
          <w:sz w:val="28"/>
          <w:szCs w:val="28"/>
        </w:rPr>
        <w:tab/>
        <w:t xml:space="preserve"> </w:t>
      </w:r>
      <w:r>
        <w:rPr>
          <w:sz w:val="28"/>
          <w:szCs w:val="28"/>
        </w:rPr>
        <w:tab/>
      </w:r>
      <w:r w:rsidRPr="008D6ACD">
        <w:rPr>
          <w:bCs/>
          <w:sz w:val="28"/>
          <w:szCs w:val="28"/>
        </w:rPr>
        <w:t>д.м.н.</w:t>
      </w:r>
      <w:r>
        <w:rPr>
          <w:bCs/>
          <w:sz w:val="28"/>
          <w:szCs w:val="28"/>
        </w:rPr>
        <w:t xml:space="preserve"> Куттубаева Клара Бейшеновна</w:t>
      </w:r>
    </w:p>
    <w:p w:rsidR="00254EE8" w:rsidRPr="00E009CE" w:rsidRDefault="00254EE8" w:rsidP="00254EE8">
      <w:pPr>
        <w:jc w:val="both"/>
        <w:rPr>
          <w:sz w:val="28"/>
          <w:szCs w:val="28"/>
        </w:rPr>
      </w:pPr>
    </w:p>
    <w:p w:rsidR="00254EE8" w:rsidRDefault="00254EE8" w:rsidP="00254EE8">
      <w:pPr>
        <w:ind w:left="4245" w:hanging="4245"/>
        <w:rPr>
          <w:sz w:val="28"/>
          <w:szCs w:val="28"/>
        </w:rPr>
      </w:pPr>
      <w:r>
        <w:rPr>
          <w:b/>
          <w:sz w:val="28"/>
          <w:szCs w:val="28"/>
        </w:rPr>
        <w:t xml:space="preserve">Официальные оппоненты: </w:t>
      </w:r>
      <w:r>
        <w:rPr>
          <w:b/>
          <w:sz w:val="28"/>
          <w:szCs w:val="28"/>
        </w:rPr>
        <w:tab/>
      </w:r>
      <w:r>
        <w:rPr>
          <w:b/>
          <w:sz w:val="28"/>
          <w:szCs w:val="28"/>
        </w:rPr>
        <w:tab/>
      </w:r>
      <w:r>
        <w:rPr>
          <w:sz w:val="28"/>
          <w:szCs w:val="28"/>
        </w:rPr>
        <w:t>Академик</w:t>
      </w:r>
      <w:r w:rsidR="00DC1FA5">
        <w:rPr>
          <w:sz w:val="28"/>
          <w:szCs w:val="28"/>
        </w:rPr>
        <w:t xml:space="preserve"> НАН РК, д.м.н., профессор  </w:t>
      </w:r>
      <w:r>
        <w:rPr>
          <w:sz w:val="28"/>
          <w:szCs w:val="28"/>
        </w:rPr>
        <w:t>Кузденбаева Раиса Салмаганбетовна</w:t>
      </w:r>
    </w:p>
    <w:p w:rsidR="00254EE8" w:rsidRDefault="00254EE8" w:rsidP="00254EE8">
      <w:pPr>
        <w:ind w:left="4245" w:hanging="4245"/>
        <w:rPr>
          <w:sz w:val="28"/>
          <w:szCs w:val="28"/>
        </w:rPr>
      </w:pPr>
    </w:p>
    <w:p w:rsidR="00254EE8" w:rsidRDefault="00DC1FA5" w:rsidP="00254EE8">
      <w:pPr>
        <w:ind w:left="4245"/>
        <w:rPr>
          <w:sz w:val="28"/>
          <w:szCs w:val="28"/>
        </w:rPr>
      </w:pPr>
      <w:r>
        <w:rPr>
          <w:sz w:val="28"/>
          <w:szCs w:val="28"/>
        </w:rPr>
        <w:t>д</w:t>
      </w:r>
      <w:r w:rsidR="00254EE8">
        <w:rPr>
          <w:sz w:val="28"/>
          <w:szCs w:val="28"/>
        </w:rPr>
        <w:t>октор медицинских наук, профессор</w:t>
      </w:r>
      <w:r>
        <w:rPr>
          <w:sz w:val="28"/>
          <w:szCs w:val="28"/>
        </w:rPr>
        <w:t xml:space="preserve"> Юлдашев И.М.</w:t>
      </w:r>
      <w:r w:rsidR="00254EE8">
        <w:rPr>
          <w:sz w:val="28"/>
          <w:szCs w:val="28"/>
        </w:rPr>
        <w:t xml:space="preserve"> </w:t>
      </w:r>
    </w:p>
    <w:p w:rsidR="00254EE8" w:rsidRDefault="00254EE8" w:rsidP="00254EE8">
      <w:pPr>
        <w:rPr>
          <w:b/>
          <w:sz w:val="28"/>
          <w:szCs w:val="28"/>
        </w:rPr>
      </w:pPr>
    </w:p>
    <w:p w:rsidR="00577791" w:rsidRDefault="00254EE8" w:rsidP="00577791">
      <w:pPr>
        <w:spacing w:line="276" w:lineRule="auto"/>
        <w:ind w:right="-1"/>
        <w:jc w:val="both"/>
        <w:rPr>
          <w:sz w:val="28"/>
          <w:szCs w:val="28"/>
        </w:rPr>
      </w:pPr>
      <w:r w:rsidRPr="00781A58">
        <w:rPr>
          <w:b/>
          <w:sz w:val="28"/>
          <w:szCs w:val="28"/>
        </w:rPr>
        <w:t xml:space="preserve">Ведущая (оппонирующая) организация: </w:t>
      </w:r>
      <w:r>
        <w:rPr>
          <w:bCs/>
          <w:sz w:val="28"/>
          <w:szCs w:val="28"/>
        </w:rPr>
        <w:t>Казахский национальный медицинский университет имени С.Д. Асфендиярова</w:t>
      </w:r>
      <w:r w:rsidR="00577791">
        <w:rPr>
          <w:bCs/>
          <w:sz w:val="28"/>
          <w:szCs w:val="28"/>
        </w:rPr>
        <w:t xml:space="preserve"> </w:t>
      </w:r>
      <w:r w:rsidR="00577791">
        <w:rPr>
          <w:sz w:val="28"/>
          <w:szCs w:val="28"/>
        </w:rPr>
        <w:t>(г. Алматы, ул. Толе-би, 88).</w:t>
      </w:r>
    </w:p>
    <w:p w:rsidR="00254EE8" w:rsidRDefault="00254EE8" w:rsidP="00254EE8">
      <w:pPr>
        <w:pStyle w:val="a4"/>
        <w:jc w:val="both"/>
        <w:rPr>
          <w:bCs/>
          <w:sz w:val="28"/>
          <w:szCs w:val="28"/>
        </w:rPr>
      </w:pPr>
    </w:p>
    <w:p w:rsidR="00254EE8" w:rsidRDefault="00254EE8" w:rsidP="00254EE8">
      <w:pPr>
        <w:rPr>
          <w:b/>
          <w:sz w:val="28"/>
          <w:szCs w:val="28"/>
        </w:rPr>
      </w:pPr>
    </w:p>
    <w:p w:rsidR="00254EE8" w:rsidRDefault="00254EE8" w:rsidP="00254EE8">
      <w:pPr>
        <w:ind w:firstLine="708"/>
        <w:jc w:val="both"/>
        <w:rPr>
          <w:sz w:val="28"/>
          <w:szCs w:val="28"/>
        </w:rPr>
      </w:pPr>
      <w:r w:rsidRPr="00E009CE">
        <w:rPr>
          <w:sz w:val="28"/>
          <w:szCs w:val="28"/>
        </w:rPr>
        <w:t xml:space="preserve">Защита </w:t>
      </w:r>
      <w:r>
        <w:rPr>
          <w:sz w:val="28"/>
          <w:szCs w:val="28"/>
        </w:rPr>
        <w:t xml:space="preserve">диссертации </w:t>
      </w:r>
      <w:r w:rsidRPr="00E009CE">
        <w:rPr>
          <w:sz w:val="28"/>
          <w:szCs w:val="28"/>
        </w:rPr>
        <w:t>состоится:</w:t>
      </w:r>
      <w:r>
        <w:rPr>
          <w:sz w:val="28"/>
          <w:szCs w:val="28"/>
        </w:rPr>
        <w:t xml:space="preserve"> </w:t>
      </w:r>
      <w:r w:rsidR="00DC1FA5" w:rsidRPr="00577791">
        <w:rPr>
          <w:sz w:val="28"/>
          <w:szCs w:val="28"/>
        </w:rPr>
        <w:t>19</w:t>
      </w:r>
      <w:r w:rsidR="00577791">
        <w:rPr>
          <w:sz w:val="28"/>
          <w:szCs w:val="28"/>
        </w:rPr>
        <w:t xml:space="preserve"> </w:t>
      </w:r>
      <w:r w:rsidR="00DC1FA5">
        <w:rPr>
          <w:sz w:val="28"/>
          <w:szCs w:val="28"/>
        </w:rPr>
        <w:t xml:space="preserve">июня </w:t>
      </w:r>
      <w:r>
        <w:rPr>
          <w:sz w:val="28"/>
          <w:szCs w:val="28"/>
        </w:rPr>
        <w:t xml:space="preserve">2015 года в </w:t>
      </w:r>
      <w:r w:rsidR="00DC1FA5">
        <w:rPr>
          <w:sz w:val="28"/>
          <w:szCs w:val="28"/>
        </w:rPr>
        <w:t>14</w:t>
      </w:r>
      <w:r>
        <w:rPr>
          <w:sz w:val="28"/>
          <w:szCs w:val="28"/>
        </w:rPr>
        <w:t xml:space="preserve"> часов </w:t>
      </w:r>
      <w:r w:rsidR="00577791">
        <w:rPr>
          <w:sz w:val="28"/>
          <w:szCs w:val="28"/>
        </w:rPr>
        <w:t xml:space="preserve">30 мин. </w:t>
      </w:r>
      <w:r w:rsidRPr="00E009CE">
        <w:rPr>
          <w:sz w:val="28"/>
          <w:szCs w:val="28"/>
        </w:rPr>
        <w:t xml:space="preserve">на заседании </w:t>
      </w:r>
      <w:r>
        <w:rPr>
          <w:sz w:val="28"/>
          <w:szCs w:val="28"/>
        </w:rPr>
        <w:t>диссертационного совета Д.14.14.</w:t>
      </w:r>
      <w:r w:rsidR="00DC1FA5">
        <w:rPr>
          <w:sz w:val="28"/>
          <w:szCs w:val="28"/>
        </w:rPr>
        <w:t>3</w:t>
      </w:r>
      <w:r>
        <w:rPr>
          <w:sz w:val="28"/>
          <w:szCs w:val="28"/>
        </w:rPr>
        <w:t>93 при Кыргызской государственной медицинской академии им. И.К. Ахунбаева по адресу: 720020, Кыргызская Республика, г. Бишкек, ул. Ахунбаева, 92.</w:t>
      </w:r>
    </w:p>
    <w:p w:rsidR="00254EE8" w:rsidRDefault="00254EE8" w:rsidP="00254EE8">
      <w:pPr>
        <w:rPr>
          <w:sz w:val="28"/>
          <w:szCs w:val="28"/>
        </w:rPr>
      </w:pPr>
    </w:p>
    <w:p w:rsidR="00254EE8" w:rsidRDefault="00254EE8" w:rsidP="00254EE8">
      <w:pPr>
        <w:rPr>
          <w:sz w:val="28"/>
          <w:szCs w:val="28"/>
        </w:rPr>
      </w:pPr>
    </w:p>
    <w:p w:rsidR="00254EE8" w:rsidRDefault="00254EE8" w:rsidP="00254EE8">
      <w:pPr>
        <w:ind w:firstLine="708"/>
        <w:jc w:val="both"/>
        <w:rPr>
          <w:sz w:val="28"/>
          <w:szCs w:val="28"/>
        </w:rPr>
      </w:pPr>
      <w:r>
        <w:rPr>
          <w:sz w:val="28"/>
          <w:szCs w:val="28"/>
        </w:rPr>
        <w:t>С диссертацией можно ознакомиться в библиотеке Кыргызской государственной медицинской академии</w:t>
      </w:r>
      <w:r w:rsidRPr="00671AF4">
        <w:rPr>
          <w:sz w:val="28"/>
          <w:szCs w:val="28"/>
        </w:rPr>
        <w:t xml:space="preserve"> </w:t>
      </w:r>
      <w:r>
        <w:rPr>
          <w:sz w:val="28"/>
          <w:szCs w:val="28"/>
        </w:rPr>
        <w:t>им. И.К. Ахунбаева</w:t>
      </w:r>
      <w:r w:rsidRPr="00671AF4">
        <w:rPr>
          <w:sz w:val="28"/>
          <w:szCs w:val="28"/>
        </w:rPr>
        <w:t xml:space="preserve"> </w:t>
      </w:r>
      <w:r>
        <w:rPr>
          <w:sz w:val="28"/>
          <w:szCs w:val="28"/>
        </w:rPr>
        <w:t>по адресу: 720020, Кыргызская Республика, г. Бишкек, ул. Ахунбаева, 92.</w:t>
      </w:r>
    </w:p>
    <w:p w:rsidR="00254EE8" w:rsidRDefault="00254EE8" w:rsidP="00254EE8">
      <w:pPr>
        <w:jc w:val="both"/>
        <w:rPr>
          <w:sz w:val="28"/>
          <w:szCs w:val="28"/>
        </w:rPr>
      </w:pPr>
    </w:p>
    <w:p w:rsidR="00254EE8" w:rsidRDefault="00254EE8" w:rsidP="00254EE8">
      <w:pPr>
        <w:jc w:val="both"/>
        <w:rPr>
          <w:sz w:val="28"/>
          <w:szCs w:val="28"/>
        </w:rPr>
      </w:pPr>
    </w:p>
    <w:p w:rsidR="00254EE8" w:rsidRDefault="00254EE8" w:rsidP="00254EE8">
      <w:pPr>
        <w:pStyle w:val="a4"/>
        <w:jc w:val="both"/>
        <w:rPr>
          <w:bCs/>
          <w:sz w:val="28"/>
          <w:szCs w:val="28"/>
        </w:rPr>
      </w:pPr>
    </w:p>
    <w:p w:rsidR="00254EE8" w:rsidRDefault="00254EE8" w:rsidP="00254EE8">
      <w:pPr>
        <w:rPr>
          <w:sz w:val="28"/>
          <w:szCs w:val="28"/>
        </w:rPr>
      </w:pPr>
      <w:r>
        <w:rPr>
          <w:sz w:val="28"/>
          <w:szCs w:val="28"/>
        </w:rPr>
        <w:t xml:space="preserve">Автореферат разослан  </w:t>
      </w:r>
      <w:r w:rsidR="00577791">
        <w:rPr>
          <w:sz w:val="28"/>
          <w:szCs w:val="28"/>
        </w:rPr>
        <w:t>«_____»   мая 2015г.</w:t>
      </w:r>
    </w:p>
    <w:p w:rsidR="00254EE8" w:rsidRDefault="00254EE8" w:rsidP="00254EE8">
      <w:pPr>
        <w:rPr>
          <w:sz w:val="28"/>
          <w:szCs w:val="28"/>
        </w:rPr>
      </w:pPr>
    </w:p>
    <w:p w:rsidR="00254EE8" w:rsidRPr="00B22522" w:rsidRDefault="00254EE8" w:rsidP="00254EE8">
      <w:pPr>
        <w:rPr>
          <w:b/>
          <w:sz w:val="28"/>
          <w:szCs w:val="28"/>
        </w:rPr>
      </w:pPr>
      <w:r w:rsidRPr="00B22522">
        <w:rPr>
          <w:b/>
          <w:sz w:val="28"/>
          <w:szCs w:val="28"/>
        </w:rPr>
        <w:t>Ученый секретарь диссертационного совета,</w:t>
      </w:r>
    </w:p>
    <w:p w:rsidR="00254EE8" w:rsidRDefault="00254EE8" w:rsidP="00254EE8">
      <w:pPr>
        <w:rPr>
          <w:b/>
          <w:sz w:val="28"/>
          <w:szCs w:val="28"/>
        </w:rPr>
      </w:pPr>
      <w:r w:rsidRPr="00B22522">
        <w:rPr>
          <w:b/>
          <w:sz w:val="28"/>
          <w:szCs w:val="28"/>
        </w:rPr>
        <w:t>к.м.н., доцент</w:t>
      </w:r>
      <w:r>
        <w:rPr>
          <w:sz w:val="28"/>
          <w:szCs w:val="28"/>
        </w:rPr>
        <w:tab/>
      </w:r>
      <w:r>
        <w:rPr>
          <w:sz w:val="28"/>
          <w:szCs w:val="28"/>
        </w:rPr>
        <w:tab/>
      </w:r>
      <w:r>
        <w:rPr>
          <w:sz w:val="28"/>
          <w:szCs w:val="28"/>
        </w:rPr>
        <w:tab/>
      </w:r>
      <w:r>
        <w:rPr>
          <w:sz w:val="28"/>
          <w:szCs w:val="28"/>
        </w:rPr>
        <w:tab/>
      </w:r>
      <w:r>
        <w:rPr>
          <w:sz w:val="28"/>
          <w:szCs w:val="28"/>
        </w:rPr>
        <w:tab/>
      </w:r>
      <w:r w:rsidRPr="008701CC">
        <w:rPr>
          <w:sz w:val="28"/>
          <w:szCs w:val="28"/>
        </w:rPr>
        <w:tab/>
      </w:r>
      <w:r w:rsidRPr="008701CC">
        <w:rPr>
          <w:sz w:val="28"/>
          <w:szCs w:val="28"/>
        </w:rPr>
        <w:tab/>
      </w:r>
      <w:r w:rsidRPr="008701CC">
        <w:rPr>
          <w:sz w:val="28"/>
          <w:szCs w:val="28"/>
        </w:rPr>
        <w:tab/>
      </w:r>
      <w:r w:rsidR="00577791">
        <w:rPr>
          <w:sz w:val="28"/>
          <w:szCs w:val="28"/>
        </w:rPr>
        <w:tab/>
      </w:r>
      <w:r w:rsidR="00DC1FA5">
        <w:rPr>
          <w:b/>
          <w:sz w:val="28"/>
          <w:szCs w:val="28"/>
        </w:rPr>
        <w:t>Т.С.</w:t>
      </w:r>
      <w:r w:rsidR="00577791">
        <w:rPr>
          <w:b/>
          <w:sz w:val="28"/>
          <w:szCs w:val="28"/>
        </w:rPr>
        <w:t xml:space="preserve"> </w:t>
      </w:r>
      <w:r>
        <w:rPr>
          <w:b/>
          <w:sz w:val="28"/>
          <w:szCs w:val="28"/>
        </w:rPr>
        <w:t xml:space="preserve">Сабирова </w:t>
      </w:r>
    </w:p>
    <w:p w:rsidR="00254EE8" w:rsidRDefault="00254EE8" w:rsidP="00254EE8">
      <w:pPr>
        <w:rPr>
          <w:b/>
          <w:sz w:val="28"/>
          <w:szCs w:val="28"/>
        </w:rPr>
      </w:pPr>
    </w:p>
    <w:p w:rsidR="00DC1FA5" w:rsidRDefault="00DC1FA5" w:rsidP="00254EE8">
      <w:pPr>
        <w:rPr>
          <w:b/>
          <w:sz w:val="28"/>
          <w:szCs w:val="28"/>
        </w:rPr>
      </w:pPr>
    </w:p>
    <w:p w:rsidR="00DC1FA5" w:rsidRDefault="00DC1FA5" w:rsidP="00254EE8">
      <w:pPr>
        <w:rPr>
          <w:b/>
          <w:sz w:val="28"/>
          <w:szCs w:val="28"/>
        </w:rPr>
      </w:pPr>
    </w:p>
    <w:p w:rsidR="00DC1FA5" w:rsidRDefault="00DC1FA5" w:rsidP="00254EE8">
      <w:pPr>
        <w:rPr>
          <w:b/>
          <w:sz w:val="28"/>
          <w:szCs w:val="28"/>
        </w:rPr>
      </w:pPr>
    </w:p>
    <w:p w:rsidR="00DC1FA5" w:rsidRDefault="00DC1FA5" w:rsidP="00254EE8">
      <w:pPr>
        <w:rPr>
          <w:b/>
          <w:sz w:val="28"/>
          <w:szCs w:val="28"/>
        </w:rPr>
      </w:pPr>
    </w:p>
    <w:p w:rsidR="00DC1FA5" w:rsidRPr="008701CC" w:rsidRDefault="00DC1FA5" w:rsidP="00254EE8">
      <w:pPr>
        <w:rPr>
          <w:b/>
          <w:sz w:val="28"/>
          <w:szCs w:val="28"/>
        </w:rPr>
      </w:pPr>
    </w:p>
    <w:p w:rsidR="00254EE8" w:rsidRPr="00577791" w:rsidRDefault="00254EE8" w:rsidP="00254EE8">
      <w:pPr>
        <w:spacing w:line="360" w:lineRule="auto"/>
        <w:jc w:val="center"/>
        <w:rPr>
          <w:b/>
          <w:sz w:val="28"/>
          <w:szCs w:val="28"/>
        </w:rPr>
      </w:pPr>
      <w:r w:rsidRPr="00577791">
        <w:rPr>
          <w:b/>
          <w:sz w:val="28"/>
          <w:szCs w:val="28"/>
        </w:rPr>
        <w:t>ПЕРЕЧЕНЬ УСЛОВНЫХ ОБОЗНАЧЕНИЙ, СИМВОЛОВ,</w:t>
      </w:r>
    </w:p>
    <w:p w:rsidR="00D8789E" w:rsidRDefault="00254EE8" w:rsidP="00D8789E">
      <w:pPr>
        <w:spacing w:line="360" w:lineRule="auto"/>
        <w:jc w:val="center"/>
        <w:rPr>
          <w:b/>
          <w:sz w:val="28"/>
          <w:szCs w:val="28"/>
        </w:rPr>
      </w:pPr>
      <w:r w:rsidRPr="00577791">
        <w:rPr>
          <w:b/>
          <w:sz w:val="28"/>
          <w:szCs w:val="28"/>
        </w:rPr>
        <w:t>ЕДИНИЦ И ТЕРМИНОВ</w:t>
      </w:r>
    </w:p>
    <w:p w:rsidR="00577791" w:rsidRPr="00577791" w:rsidRDefault="00577791" w:rsidP="00D8789E">
      <w:pPr>
        <w:spacing w:line="360" w:lineRule="auto"/>
        <w:jc w:val="center"/>
        <w:rPr>
          <w:b/>
          <w:sz w:val="28"/>
          <w:szCs w:val="28"/>
        </w:rPr>
      </w:pPr>
    </w:p>
    <w:tbl>
      <w:tblPr>
        <w:tblW w:w="9273" w:type="dxa"/>
        <w:jc w:val="center"/>
        <w:tblLayout w:type="fixed"/>
        <w:tblLook w:val="01E0"/>
      </w:tblPr>
      <w:tblGrid>
        <w:gridCol w:w="1173"/>
        <w:gridCol w:w="540"/>
        <w:gridCol w:w="7560"/>
      </w:tblGrid>
      <w:tr w:rsidR="00D8789E" w:rsidRPr="00C403D3" w:rsidTr="00577791">
        <w:trPr>
          <w:trHeight w:val="126"/>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Абс.</w:t>
            </w:r>
          </w:p>
        </w:tc>
        <w:tc>
          <w:tcPr>
            <w:tcW w:w="540" w:type="dxa"/>
          </w:tcPr>
          <w:p w:rsidR="00D8789E" w:rsidRPr="00C403D3" w:rsidRDefault="00D8789E" w:rsidP="00577791">
            <w:pPr>
              <w:spacing w:line="312" w:lineRule="auto"/>
              <w:jc w:val="center"/>
              <w:rPr>
                <w:sz w:val="28"/>
                <w:szCs w:val="28"/>
              </w:rPr>
            </w:pPr>
            <w:r>
              <w:rPr>
                <w:sz w:val="28"/>
                <w:szCs w:val="28"/>
              </w:rPr>
              <w:t xml:space="preserve"> </w:t>
            </w: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а</w:t>
            </w:r>
            <w:r w:rsidRPr="00C403D3">
              <w:rPr>
                <w:sz w:val="28"/>
                <w:szCs w:val="28"/>
              </w:rPr>
              <w:t>бсолютное число</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АМП</w:t>
            </w:r>
          </w:p>
          <w:p w:rsidR="00D8789E" w:rsidRPr="00D8789E" w:rsidRDefault="00D8789E" w:rsidP="00577791">
            <w:pPr>
              <w:spacing w:line="312" w:lineRule="auto"/>
              <w:jc w:val="right"/>
              <w:rPr>
                <w:color w:val="000000"/>
                <w:sz w:val="28"/>
                <w:szCs w:val="28"/>
              </w:rPr>
            </w:pPr>
            <w:r w:rsidRPr="00D8789E">
              <w:rPr>
                <w:sz w:val="28"/>
                <w:szCs w:val="28"/>
              </w:rPr>
              <w:t>АЛСТ</w:t>
            </w:r>
            <w:r>
              <w:rPr>
                <w:sz w:val="28"/>
                <w:szCs w:val="28"/>
              </w:rPr>
              <w:t xml:space="preserve"> </w:t>
            </w:r>
            <w:r w:rsidRPr="00D8789E">
              <w:rPr>
                <w:color w:val="000000"/>
                <w:sz w:val="28"/>
                <w:szCs w:val="28"/>
              </w:rPr>
              <w:t>– 01</w:t>
            </w:r>
          </w:p>
          <w:p w:rsidR="00D8789E" w:rsidRPr="00D8789E" w:rsidRDefault="00D8789E" w:rsidP="00577791">
            <w:pPr>
              <w:spacing w:line="312" w:lineRule="auto"/>
              <w:jc w:val="right"/>
              <w:rPr>
                <w:bCs/>
                <w:sz w:val="28"/>
                <w:szCs w:val="28"/>
              </w:rPr>
            </w:pPr>
            <w:r w:rsidRPr="00D8789E">
              <w:rPr>
                <w:sz w:val="28"/>
                <w:szCs w:val="28"/>
              </w:rPr>
              <w:t>OHI-S -</w:t>
            </w:r>
          </w:p>
        </w:tc>
        <w:tc>
          <w:tcPr>
            <w:tcW w:w="540" w:type="dxa"/>
          </w:tcPr>
          <w:p w:rsidR="00D8789E" w:rsidRDefault="00D8789E" w:rsidP="00577791">
            <w:pPr>
              <w:spacing w:line="312" w:lineRule="auto"/>
              <w:jc w:val="center"/>
              <w:rPr>
                <w:sz w:val="28"/>
                <w:szCs w:val="28"/>
              </w:rPr>
            </w:pPr>
            <w:r w:rsidRPr="00C403D3">
              <w:rPr>
                <w:sz w:val="28"/>
                <w:szCs w:val="28"/>
              </w:rPr>
              <w:t>–</w:t>
            </w:r>
          </w:p>
          <w:p w:rsidR="00D8789E" w:rsidRPr="00D8789E" w:rsidRDefault="00D8789E" w:rsidP="00577791">
            <w:pPr>
              <w:spacing w:line="312" w:lineRule="auto"/>
              <w:jc w:val="center"/>
              <w:rPr>
                <w:sz w:val="28"/>
                <w:szCs w:val="28"/>
              </w:rPr>
            </w:pPr>
            <w:r w:rsidRPr="00D8789E">
              <w:rPr>
                <w:color w:val="000000"/>
                <w:sz w:val="28"/>
                <w:szCs w:val="28"/>
              </w:rPr>
              <w:t>–</w:t>
            </w:r>
          </w:p>
        </w:tc>
        <w:tc>
          <w:tcPr>
            <w:tcW w:w="7560" w:type="dxa"/>
          </w:tcPr>
          <w:p w:rsidR="00D8789E" w:rsidRDefault="00D8789E" w:rsidP="00577791">
            <w:pPr>
              <w:spacing w:line="312" w:lineRule="auto"/>
              <w:rPr>
                <w:sz w:val="28"/>
                <w:szCs w:val="28"/>
              </w:rPr>
            </w:pPr>
            <w:r>
              <w:rPr>
                <w:sz w:val="28"/>
                <w:szCs w:val="28"/>
              </w:rPr>
              <w:t>а</w:t>
            </w:r>
            <w:r w:rsidRPr="00C403D3">
              <w:rPr>
                <w:sz w:val="28"/>
                <w:szCs w:val="28"/>
              </w:rPr>
              <w:t>нтимикробный препарат</w:t>
            </w:r>
          </w:p>
          <w:p w:rsidR="00D8789E" w:rsidRDefault="00D8789E" w:rsidP="00577791">
            <w:pPr>
              <w:spacing w:line="312" w:lineRule="auto"/>
              <w:rPr>
                <w:color w:val="000000"/>
                <w:sz w:val="28"/>
                <w:szCs w:val="28"/>
              </w:rPr>
            </w:pPr>
            <w:r>
              <w:rPr>
                <w:color w:val="000000"/>
                <w:sz w:val="28"/>
                <w:szCs w:val="28"/>
              </w:rPr>
              <w:t>Аппарат лазерный стоматологический терапевтический</w:t>
            </w:r>
          </w:p>
          <w:p w:rsidR="00D8789E" w:rsidRDefault="00D8789E" w:rsidP="00577791">
            <w:pPr>
              <w:spacing w:line="312" w:lineRule="auto"/>
              <w:rPr>
                <w:color w:val="000000"/>
                <w:sz w:val="28"/>
                <w:szCs w:val="28"/>
              </w:rPr>
            </w:pPr>
          </w:p>
          <w:p w:rsidR="00D8789E" w:rsidRPr="00C403D3" w:rsidRDefault="00D8789E" w:rsidP="00577791">
            <w:pPr>
              <w:spacing w:line="312" w:lineRule="auto"/>
              <w:rPr>
                <w:sz w:val="28"/>
                <w:szCs w:val="28"/>
              </w:rPr>
            </w:pPr>
            <w:r w:rsidRPr="0072579E">
              <w:rPr>
                <w:sz w:val="28"/>
                <w:szCs w:val="28"/>
              </w:rPr>
              <w:t>Упрощенный индекс гигиены</w:t>
            </w:r>
            <w:r>
              <w:rPr>
                <w:sz w:val="28"/>
                <w:szCs w:val="28"/>
              </w:rPr>
              <w:t xml:space="preserve"> рта по Грину-Вермиллиону</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ГИ</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г</w:t>
            </w:r>
            <w:r w:rsidRPr="00C403D3">
              <w:rPr>
                <w:sz w:val="28"/>
                <w:szCs w:val="28"/>
              </w:rPr>
              <w:t>игиенический индекс</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КГМА</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sidRPr="00C403D3">
              <w:rPr>
                <w:sz w:val="28"/>
                <w:szCs w:val="28"/>
              </w:rPr>
              <w:t>Кыргызская государственная медицинская академия</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ME</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м</w:t>
            </w:r>
            <w:r w:rsidRPr="00C403D3">
              <w:rPr>
                <w:sz w:val="28"/>
                <w:szCs w:val="28"/>
              </w:rPr>
              <w:t>еждународные единицы</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ПИ</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ародонтальный индекс</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ПК</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ародонтальный карман</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ПМА</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апиллярно-маргинально-альвеолярный индекс</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СЕА</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з</w:t>
            </w:r>
            <w:r w:rsidRPr="00C403D3">
              <w:rPr>
                <w:sz w:val="28"/>
                <w:szCs w:val="28"/>
              </w:rPr>
              <w:t>атраты, приходящиеся на единицу эффективности (на 1 вылеченного больного)</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СМА</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оказатель разницы затрат</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СОI</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оказатель стоимости болезни</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ЦСМ</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sidRPr="00C403D3">
              <w:rPr>
                <w:sz w:val="28"/>
                <w:szCs w:val="28"/>
              </w:rPr>
              <w:t>Центр семейной медицины</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CPITN</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и</w:t>
            </w:r>
            <w:r w:rsidRPr="00C403D3">
              <w:rPr>
                <w:sz w:val="28"/>
                <w:szCs w:val="28"/>
              </w:rPr>
              <w:t>ндекс определения потребности пациента в объеме лечения болезней пародонта (ВОЗ)</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DС</w:t>
            </w:r>
          </w:p>
        </w:tc>
        <w:tc>
          <w:tcPr>
            <w:tcW w:w="540" w:type="dxa"/>
          </w:tcPr>
          <w:p w:rsidR="00D8789E" w:rsidRPr="00C403D3" w:rsidRDefault="00D8789E" w:rsidP="00577791">
            <w:pPr>
              <w:spacing w:line="312" w:lineRule="auto"/>
              <w:jc w:val="center"/>
              <w:rPr>
                <w:sz w:val="28"/>
                <w:szCs w:val="28"/>
              </w:rPr>
            </w:pPr>
            <w:r w:rsidRPr="00C403D3">
              <w:rPr>
                <w:sz w:val="28"/>
                <w:szCs w:val="28"/>
              </w:rPr>
              <w:t>–</w:t>
            </w:r>
          </w:p>
        </w:tc>
        <w:tc>
          <w:tcPr>
            <w:tcW w:w="7560" w:type="dxa"/>
          </w:tcPr>
          <w:p w:rsidR="00D8789E" w:rsidRPr="00C403D3" w:rsidRDefault="00D8789E" w:rsidP="00577791">
            <w:pPr>
              <w:spacing w:line="312" w:lineRule="auto"/>
              <w:rPr>
                <w:sz w:val="28"/>
                <w:szCs w:val="28"/>
              </w:rPr>
            </w:pPr>
            <w:r>
              <w:rPr>
                <w:sz w:val="28"/>
                <w:szCs w:val="28"/>
              </w:rPr>
              <w:t>п</w:t>
            </w:r>
            <w:r w:rsidRPr="00C403D3">
              <w:rPr>
                <w:sz w:val="28"/>
                <w:szCs w:val="28"/>
              </w:rPr>
              <w:t>рямые медицинские затраты</w:t>
            </w:r>
          </w:p>
        </w:tc>
      </w:tr>
      <w:tr w:rsidR="00D8789E" w:rsidRPr="00C403D3" w:rsidTr="00577791">
        <w:trPr>
          <w:jc w:val="center"/>
        </w:trPr>
        <w:tc>
          <w:tcPr>
            <w:tcW w:w="1173" w:type="dxa"/>
          </w:tcPr>
          <w:p w:rsidR="00D8789E" w:rsidRPr="00D8789E" w:rsidRDefault="004106FA" w:rsidP="00577791">
            <w:pPr>
              <w:spacing w:line="312" w:lineRule="auto"/>
              <w:jc w:val="right"/>
              <w:rPr>
                <w:bCs/>
                <w:sz w:val="28"/>
                <w:szCs w:val="28"/>
              </w:rPr>
            </w:pPr>
            <w:r w:rsidRPr="00D8789E">
              <w:rPr>
                <w:bCs/>
                <w:sz w:val="28"/>
                <w:szCs w:val="28"/>
              </w:rPr>
              <w:t>M</w:t>
            </w:r>
          </w:p>
        </w:tc>
        <w:tc>
          <w:tcPr>
            <w:tcW w:w="540" w:type="dxa"/>
          </w:tcPr>
          <w:p w:rsidR="00D8789E" w:rsidRPr="00E341F0" w:rsidRDefault="00D8789E" w:rsidP="00577791">
            <w:pPr>
              <w:spacing w:line="312" w:lineRule="auto"/>
              <w:jc w:val="center"/>
              <w:rPr>
                <w:sz w:val="28"/>
                <w:szCs w:val="28"/>
              </w:rPr>
            </w:pPr>
            <w:r w:rsidRPr="00E341F0">
              <w:rPr>
                <w:sz w:val="28"/>
                <w:szCs w:val="28"/>
              </w:rPr>
              <w:t>–</w:t>
            </w:r>
          </w:p>
        </w:tc>
        <w:tc>
          <w:tcPr>
            <w:tcW w:w="7560" w:type="dxa"/>
          </w:tcPr>
          <w:p w:rsidR="00D8789E" w:rsidRPr="00C403D3" w:rsidRDefault="00D8789E" w:rsidP="00577791">
            <w:pPr>
              <w:spacing w:line="312" w:lineRule="auto"/>
              <w:rPr>
                <w:sz w:val="28"/>
                <w:szCs w:val="28"/>
              </w:rPr>
            </w:pPr>
            <w:r>
              <w:rPr>
                <w:sz w:val="28"/>
                <w:szCs w:val="28"/>
              </w:rPr>
              <w:t>с</w:t>
            </w:r>
            <w:r w:rsidRPr="00E341F0">
              <w:rPr>
                <w:sz w:val="28"/>
                <w:szCs w:val="28"/>
              </w:rPr>
              <w:t>редняя ошибка показателя</w:t>
            </w:r>
          </w:p>
        </w:tc>
      </w:tr>
      <w:tr w:rsidR="00D8789E" w:rsidRPr="002D03DA"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M</w:t>
            </w:r>
          </w:p>
        </w:tc>
        <w:tc>
          <w:tcPr>
            <w:tcW w:w="540" w:type="dxa"/>
          </w:tcPr>
          <w:p w:rsidR="00D8789E" w:rsidRPr="002D03DA" w:rsidRDefault="00D8789E" w:rsidP="00577791">
            <w:pPr>
              <w:spacing w:line="312" w:lineRule="auto"/>
              <w:jc w:val="center"/>
              <w:rPr>
                <w:sz w:val="28"/>
                <w:szCs w:val="28"/>
              </w:rPr>
            </w:pPr>
            <w:r w:rsidRPr="002D03DA">
              <w:rPr>
                <w:sz w:val="28"/>
                <w:szCs w:val="28"/>
              </w:rPr>
              <w:t>–</w:t>
            </w:r>
          </w:p>
        </w:tc>
        <w:tc>
          <w:tcPr>
            <w:tcW w:w="7560" w:type="dxa"/>
          </w:tcPr>
          <w:p w:rsidR="00D8789E" w:rsidRPr="002D03DA" w:rsidRDefault="00D8789E" w:rsidP="00577791">
            <w:pPr>
              <w:spacing w:line="312" w:lineRule="auto"/>
              <w:rPr>
                <w:sz w:val="28"/>
                <w:szCs w:val="28"/>
              </w:rPr>
            </w:pPr>
            <w:r>
              <w:rPr>
                <w:sz w:val="28"/>
                <w:szCs w:val="28"/>
              </w:rPr>
              <w:t>с</w:t>
            </w:r>
            <w:r w:rsidRPr="002D03DA">
              <w:rPr>
                <w:sz w:val="28"/>
                <w:szCs w:val="28"/>
              </w:rPr>
              <w:t>реднее значение показателя</w:t>
            </w:r>
          </w:p>
        </w:tc>
      </w:tr>
      <w:tr w:rsidR="00D8789E" w:rsidRPr="00C403D3" w:rsidTr="00577791">
        <w:trPr>
          <w:jc w:val="center"/>
        </w:trPr>
        <w:tc>
          <w:tcPr>
            <w:tcW w:w="1173" w:type="dxa"/>
          </w:tcPr>
          <w:p w:rsidR="00D8789E" w:rsidRPr="00D8789E" w:rsidRDefault="00D8789E" w:rsidP="00577791">
            <w:pPr>
              <w:spacing w:line="312" w:lineRule="auto"/>
              <w:jc w:val="right"/>
              <w:rPr>
                <w:bCs/>
                <w:sz w:val="28"/>
                <w:szCs w:val="28"/>
              </w:rPr>
            </w:pPr>
            <w:r w:rsidRPr="00D8789E">
              <w:rPr>
                <w:bCs/>
                <w:sz w:val="28"/>
                <w:szCs w:val="28"/>
              </w:rPr>
              <w:t>P</w:t>
            </w:r>
          </w:p>
          <w:p w:rsidR="00D8789E" w:rsidRPr="00D8789E" w:rsidRDefault="00D8789E" w:rsidP="00577791">
            <w:pPr>
              <w:spacing w:line="312" w:lineRule="auto"/>
              <w:jc w:val="right"/>
              <w:rPr>
                <w:bCs/>
                <w:sz w:val="28"/>
                <w:szCs w:val="28"/>
              </w:rPr>
            </w:pPr>
          </w:p>
        </w:tc>
        <w:tc>
          <w:tcPr>
            <w:tcW w:w="540" w:type="dxa"/>
          </w:tcPr>
          <w:p w:rsidR="00D8789E" w:rsidRPr="002D03DA" w:rsidRDefault="00D8789E" w:rsidP="00577791">
            <w:pPr>
              <w:spacing w:line="312" w:lineRule="auto"/>
              <w:jc w:val="center"/>
              <w:rPr>
                <w:sz w:val="28"/>
                <w:szCs w:val="28"/>
              </w:rPr>
            </w:pPr>
            <w:r w:rsidRPr="002D03DA">
              <w:rPr>
                <w:sz w:val="28"/>
                <w:szCs w:val="28"/>
              </w:rPr>
              <w:t>–</w:t>
            </w:r>
          </w:p>
        </w:tc>
        <w:tc>
          <w:tcPr>
            <w:tcW w:w="7560" w:type="dxa"/>
          </w:tcPr>
          <w:p w:rsidR="00D8789E" w:rsidRDefault="00D8789E" w:rsidP="00577791">
            <w:pPr>
              <w:spacing w:line="312" w:lineRule="auto"/>
              <w:rPr>
                <w:sz w:val="28"/>
                <w:szCs w:val="28"/>
              </w:rPr>
            </w:pPr>
            <w:r>
              <w:rPr>
                <w:sz w:val="28"/>
                <w:szCs w:val="28"/>
              </w:rPr>
              <w:t>и</w:t>
            </w:r>
            <w:r w:rsidRPr="002D03DA">
              <w:rPr>
                <w:sz w:val="28"/>
                <w:szCs w:val="28"/>
              </w:rPr>
              <w:t>нтенсивный показатель</w:t>
            </w:r>
          </w:p>
          <w:p w:rsidR="00D8789E" w:rsidRPr="00C403D3" w:rsidRDefault="00D8789E" w:rsidP="00577791">
            <w:pPr>
              <w:spacing w:line="312" w:lineRule="auto"/>
              <w:rPr>
                <w:sz w:val="28"/>
                <w:szCs w:val="28"/>
              </w:rPr>
            </w:pPr>
          </w:p>
        </w:tc>
      </w:tr>
    </w:tbl>
    <w:p w:rsidR="00D8789E" w:rsidRDefault="00D8789E" w:rsidP="00577791">
      <w:pPr>
        <w:spacing w:line="312" w:lineRule="auto"/>
      </w:pPr>
    </w:p>
    <w:p w:rsidR="00D8789E" w:rsidRDefault="00D8789E" w:rsidP="00D8789E">
      <w:pPr>
        <w:jc w:val="center"/>
        <w:rPr>
          <w:b/>
          <w:sz w:val="28"/>
          <w:szCs w:val="28"/>
        </w:rPr>
      </w:pPr>
    </w:p>
    <w:p w:rsidR="00D8789E" w:rsidRDefault="00D8789E" w:rsidP="00D8789E">
      <w:pPr>
        <w:jc w:val="center"/>
        <w:rPr>
          <w:b/>
          <w:sz w:val="28"/>
          <w:szCs w:val="28"/>
        </w:rPr>
      </w:pPr>
    </w:p>
    <w:p w:rsidR="00D8789E" w:rsidRDefault="00D8789E" w:rsidP="00D8789E">
      <w:pPr>
        <w:jc w:val="center"/>
        <w:rPr>
          <w:b/>
          <w:sz w:val="28"/>
          <w:szCs w:val="28"/>
        </w:rPr>
      </w:pPr>
    </w:p>
    <w:p w:rsidR="00D8789E" w:rsidRDefault="00D8789E" w:rsidP="00254EE8">
      <w:pPr>
        <w:jc w:val="center"/>
        <w:rPr>
          <w:b/>
          <w:sz w:val="28"/>
          <w:szCs w:val="28"/>
        </w:rPr>
      </w:pPr>
    </w:p>
    <w:p w:rsidR="00D8789E" w:rsidRDefault="00D8789E" w:rsidP="00254EE8">
      <w:pPr>
        <w:jc w:val="center"/>
        <w:rPr>
          <w:b/>
          <w:sz w:val="28"/>
          <w:szCs w:val="28"/>
        </w:rPr>
      </w:pPr>
    </w:p>
    <w:p w:rsidR="00D8789E" w:rsidRDefault="00D8789E" w:rsidP="00254EE8">
      <w:pPr>
        <w:jc w:val="center"/>
        <w:rPr>
          <w:b/>
          <w:sz w:val="28"/>
          <w:szCs w:val="28"/>
        </w:rPr>
      </w:pPr>
    </w:p>
    <w:p w:rsidR="00254EE8" w:rsidRDefault="00254EE8" w:rsidP="004106FA">
      <w:pPr>
        <w:jc w:val="center"/>
        <w:rPr>
          <w:b/>
          <w:caps/>
          <w:sz w:val="28"/>
          <w:szCs w:val="28"/>
        </w:rPr>
      </w:pPr>
      <w:r w:rsidRPr="00685D0E">
        <w:rPr>
          <w:b/>
          <w:sz w:val="28"/>
          <w:szCs w:val="28"/>
        </w:rPr>
        <w:lastRenderedPageBreak/>
        <w:t>ОБЩАЯ ХАРАКТЕРИСТИКА РАБОТЫ</w:t>
      </w:r>
    </w:p>
    <w:p w:rsidR="004106FA" w:rsidRPr="004106FA" w:rsidRDefault="004106FA" w:rsidP="004106FA">
      <w:pPr>
        <w:jc w:val="center"/>
        <w:rPr>
          <w:b/>
          <w:caps/>
          <w:sz w:val="28"/>
          <w:szCs w:val="28"/>
        </w:rPr>
      </w:pPr>
    </w:p>
    <w:p w:rsidR="007841F8" w:rsidRPr="007841F8" w:rsidRDefault="00254EE8" w:rsidP="004106FA">
      <w:pPr>
        <w:ind w:firstLine="708"/>
        <w:jc w:val="both"/>
        <w:rPr>
          <w:sz w:val="28"/>
          <w:szCs w:val="28"/>
        </w:rPr>
      </w:pPr>
      <w:r w:rsidRPr="007841F8">
        <w:rPr>
          <w:b/>
          <w:sz w:val="28"/>
          <w:szCs w:val="28"/>
        </w:rPr>
        <w:t>Актуальность темы диссертации</w:t>
      </w:r>
      <w:r w:rsidR="00D8789E">
        <w:rPr>
          <w:b/>
          <w:sz w:val="28"/>
          <w:szCs w:val="28"/>
        </w:rPr>
        <w:t xml:space="preserve">. </w:t>
      </w:r>
      <w:r w:rsidRPr="007841F8">
        <w:rPr>
          <w:sz w:val="28"/>
          <w:szCs w:val="28"/>
        </w:rPr>
        <w:t>Несмотря на значительный вклад многих исследователей в изучение различных аспектов этиологии, патогенеза и разработку комплекса лечебно-профилактических мероприятий, заболевания пародонта являются актуальной проблемой современной стоматологии и продолжают оставаться одной из важнейших причин потери зубов</w:t>
      </w:r>
      <w:r w:rsidR="007841F8" w:rsidRPr="007841F8">
        <w:rPr>
          <w:sz w:val="28"/>
          <w:szCs w:val="28"/>
        </w:rPr>
        <w:t xml:space="preserve"> [Барер Г.М., Лемецкая Т.И, 2009</w:t>
      </w:r>
      <w:r w:rsidR="00B14618">
        <w:rPr>
          <w:sz w:val="28"/>
          <w:szCs w:val="28"/>
        </w:rPr>
        <w:t>; Иванов В.С., 2010</w:t>
      </w:r>
      <w:r w:rsidR="00281FA2">
        <w:rPr>
          <w:sz w:val="28"/>
          <w:szCs w:val="28"/>
        </w:rPr>
        <w:t>; Боровский Е.К, 201</w:t>
      </w:r>
      <w:r w:rsidRPr="007841F8">
        <w:rPr>
          <w:sz w:val="28"/>
          <w:szCs w:val="28"/>
        </w:rPr>
        <w:t xml:space="preserve">1; </w:t>
      </w:r>
      <w:r w:rsidRPr="007841F8">
        <w:rPr>
          <w:sz w:val="28"/>
          <w:szCs w:val="28"/>
          <w:lang w:val="en-US"/>
        </w:rPr>
        <w:t>Shavell</w:t>
      </w:r>
      <w:r w:rsidRPr="007841F8">
        <w:rPr>
          <w:sz w:val="28"/>
          <w:szCs w:val="28"/>
        </w:rPr>
        <w:t xml:space="preserve"> </w:t>
      </w:r>
      <w:r w:rsidRPr="007841F8">
        <w:rPr>
          <w:sz w:val="28"/>
          <w:szCs w:val="28"/>
          <w:lang w:val="en-US"/>
        </w:rPr>
        <w:t>H</w:t>
      </w:r>
      <w:r w:rsidRPr="007841F8">
        <w:rPr>
          <w:sz w:val="28"/>
          <w:szCs w:val="28"/>
        </w:rPr>
        <w:t>.</w:t>
      </w:r>
      <w:r w:rsidRPr="007841F8">
        <w:rPr>
          <w:sz w:val="28"/>
          <w:szCs w:val="28"/>
          <w:lang w:val="en-US"/>
        </w:rPr>
        <w:t>M</w:t>
      </w:r>
      <w:r w:rsidRPr="007841F8">
        <w:rPr>
          <w:sz w:val="28"/>
          <w:szCs w:val="28"/>
        </w:rPr>
        <w:t>., 2009].</w:t>
      </w:r>
      <w:r w:rsidR="007841F8" w:rsidRPr="007841F8">
        <w:rPr>
          <w:color w:val="000000"/>
          <w:sz w:val="28"/>
          <w:szCs w:val="28"/>
        </w:rPr>
        <w:t xml:space="preserve"> Актуальность проблемы связана и с тем, что, помимо высокой распространенности, течение заболеваний пародонта на ранних этапах характеризуется слабовыраженной симптоматикой, поэтому во многих случаях пациенты обращаются к стоматологу поздно, когда болезнь уже не подлежит обратному развитию. Этим объясняют широко известные во всем мире статистические данные, согласно которым потеря зубов вследствие заболеваний пародонта в 5–10 раз превышает частоту их удаления вследствие осложнений кариеса. По данным ВОЗ, около 80% людей в той или иной степени страдают от заболеваний пародонта, при этом у взрослых частота пародонтита и гингивита колеблется от 53 до 97,5%. Однако частота заболеваний пародонта повышается, в том числе среди лиц молодого возраста, — уже в детском возрасте распространенность и кариеса, и гингивита достигает 80–95%. </w:t>
      </w:r>
      <w:r w:rsidR="007841F8" w:rsidRPr="007841F8">
        <w:rPr>
          <w:sz w:val="28"/>
          <w:szCs w:val="28"/>
        </w:rPr>
        <w:t>[</w:t>
      </w:r>
      <w:r w:rsidR="007841F8" w:rsidRPr="007841F8">
        <w:rPr>
          <w:color w:val="000000"/>
          <w:sz w:val="28"/>
          <w:szCs w:val="28"/>
        </w:rPr>
        <w:t>Супрун Э.В., Пиминов А.Ф., Ролик С.Н., 2013</w:t>
      </w:r>
      <w:r w:rsidR="007841F8" w:rsidRPr="007841F8">
        <w:rPr>
          <w:sz w:val="28"/>
          <w:szCs w:val="28"/>
        </w:rPr>
        <w:t>].</w:t>
      </w:r>
    </w:p>
    <w:p w:rsidR="00254EE8" w:rsidRPr="00685D0E" w:rsidRDefault="00254EE8" w:rsidP="004106FA">
      <w:pPr>
        <w:pStyle w:val="a7"/>
        <w:tabs>
          <w:tab w:val="num" w:pos="720"/>
        </w:tabs>
        <w:ind w:left="0"/>
        <w:jc w:val="both"/>
        <w:rPr>
          <w:sz w:val="28"/>
          <w:szCs w:val="28"/>
        </w:rPr>
      </w:pPr>
      <w:r w:rsidRPr="00D8789E">
        <w:rPr>
          <w:sz w:val="28"/>
          <w:szCs w:val="28"/>
        </w:rPr>
        <w:t xml:space="preserve"> </w:t>
      </w:r>
      <w:r w:rsidR="00D8789E">
        <w:rPr>
          <w:sz w:val="28"/>
          <w:szCs w:val="28"/>
        </w:rPr>
        <w:tab/>
      </w:r>
      <w:r w:rsidRPr="00685D0E">
        <w:rPr>
          <w:sz w:val="28"/>
          <w:szCs w:val="28"/>
        </w:rPr>
        <w:t>Так, исследования последних лет свидетельствуют о том, что около 40% – 50% взрослого населения до 50 лет, и 80% – 90% старше 50 лет страдают пат</w:t>
      </w:r>
      <w:r w:rsidR="00841EBD" w:rsidRPr="00685D0E">
        <w:rPr>
          <w:sz w:val="28"/>
          <w:szCs w:val="28"/>
        </w:rPr>
        <w:t>ологией пародонта [Безрукова</w:t>
      </w:r>
      <w:r w:rsidRPr="00685D0E">
        <w:rPr>
          <w:sz w:val="28"/>
          <w:szCs w:val="28"/>
        </w:rPr>
        <w:t xml:space="preserve"> И. В., 2002; Соловьева А.М., 2005; Дибард С., 2007].</w:t>
      </w:r>
    </w:p>
    <w:p w:rsidR="00254EE8" w:rsidRPr="00685D0E" w:rsidRDefault="00254EE8" w:rsidP="004106FA">
      <w:pPr>
        <w:ind w:firstLine="708"/>
        <w:jc w:val="both"/>
        <w:rPr>
          <w:sz w:val="28"/>
          <w:szCs w:val="28"/>
        </w:rPr>
      </w:pPr>
      <w:r w:rsidRPr="00685D0E">
        <w:rPr>
          <w:sz w:val="28"/>
          <w:szCs w:val="28"/>
        </w:rPr>
        <w:t>Данные о высокой распространенности заболеваний пародонта в Кыргызской Республике подтверждены многочисленными исследованиями отечественных ученых, которые показали, что большая часть населения Кыргызстана в возрасте 35 лет и выше страдает заболеваниями пародонта и нуждается в лечении [Сабурова Л.Б., 1981; Рассолова М.В. и соавт., 1988; Жолуева П.Т., 1999]. Исследования, проведенные Сельпиевым Т.Т. (1995) и Давлетовой Г.Р. (1996) выявили, что наиболее часто болезни пародонта встречаются у сельского населения, причем, у детей чаще встречаются локализованные их формы, а у взрослых – генерализованные.</w:t>
      </w:r>
    </w:p>
    <w:p w:rsidR="00254EE8" w:rsidRPr="00685D0E" w:rsidRDefault="00254EE8" w:rsidP="004106FA">
      <w:pPr>
        <w:ind w:firstLine="720"/>
        <w:jc w:val="both"/>
        <w:rPr>
          <w:sz w:val="28"/>
          <w:szCs w:val="28"/>
        </w:rPr>
      </w:pPr>
      <w:r w:rsidRPr="00685D0E">
        <w:rPr>
          <w:sz w:val="28"/>
          <w:szCs w:val="28"/>
        </w:rPr>
        <w:t>Многообразие поражений пародонта включает разнообразные по форме и клиническим проявлениям воспалительные, дегенеративные и неопластические процессы. В связи  с чем, стратегия лечебных мероприятий и их эффективность по некоторым вопросам остается открытой [Митронин, А.В., 2008; Грудянов А.И., 2009]. Полиэтиологичность заболеваний пародонта предполагает многообразие лечебных методов и диктует условия, при которых комплексность и индивидуальный подход являются основным условием успешного лечения [</w:t>
      </w:r>
      <w:r w:rsidRPr="00685D0E">
        <w:rPr>
          <w:sz w:val="28"/>
          <w:szCs w:val="28"/>
          <w:lang w:val="en-US"/>
        </w:rPr>
        <w:t>Simon</w:t>
      </w:r>
      <w:r w:rsidRPr="00685D0E">
        <w:rPr>
          <w:sz w:val="28"/>
          <w:szCs w:val="28"/>
        </w:rPr>
        <w:t xml:space="preserve"> </w:t>
      </w:r>
      <w:r w:rsidRPr="00685D0E">
        <w:rPr>
          <w:sz w:val="28"/>
          <w:szCs w:val="28"/>
          <w:lang w:val="en-US"/>
        </w:rPr>
        <w:t>B</w:t>
      </w:r>
      <w:r w:rsidRPr="00685D0E">
        <w:rPr>
          <w:sz w:val="28"/>
          <w:szCs w:val="28"/>
        </w:rPr>
        <w:t>.</w:t>
      </w:r>
      <w:r w:rsidRPr="00685D0E">
        <w:rPr>
          <w:sz w:val="28"/>
          <w:szCs w:val="28"/>
          <w:lang w:val="en-US"/>
        </w:rPr>
        <w:t>R</w:t>
      </w:r>
      <w:r w:rsidRPr="00685D0E">
        <w:rPr>
          <w:sz w:val="28"/>
          <w:szCs w:val="28"/>
        </w:rPr>
        <w:t xml:space="preserve">. </w:t>
      </w:r>
      <w:r w:rsidRPr="00685D0E">
        <w:rPr>
          <w:sz w:val="28"/>
          <w:szCs w:val="28"/>
          <w:lang w:val="en-US"/>
        </w:rPr>
        <w:t>et</w:t>
      </w:r>
      <w:r w:rsidRPr="00685D0E">
        <w:rPr>
          <w:sz w:val="28"/>
          <w:szCs w:val="28"/>
        </w:rPr>
        <w:t xml:space="preserve"> </w:t>
      </w:r>
      <w:r w:rsidRPr="00685D0E">
        <w:rPr>
          <w:sz w:val="28"/>
          <w:szCs w:val="28"/>
          <w:lang w:val="en-US"/>
        </w:rPr>
        <w:t>al</w:t>
      </w:r>
      <w:r w:rsidRPr="00685D0E">
        <w:rPr>
          <w:sz w:val="28"/>
          <w:szCs w:val="28"/>
        </w:rPr>
        <w:t xml:space="preserve">., 2007]. При этом их лечение является весьма сложным процессом, не всегда гарантирующим получение желаемого </w:t>
      </w:r>
      <w:r w:rsidRPr="00685D0E">
        <w:rPr>
          <w:sz w:val="28"/>
          <w:szCs w:val="28"/>
        </w:rPr>
        <w:lastRenderedPageBreak/>
        <w:t>результата, и зачастую различные авторы рекомендуют противоположные подходы к терапии заболеваний пародонта. Также необходимо помнить, что часто один из ведущих компонентов лечения может быть единственным вмешательством, создающим оптимальные условия для возникновения лечебного эффекта.</w:t>
      </w:r>
    </w:p>
    <w:p w:rsidR="00254EE8" w:rsidRPr="00685D0E" w:rsidRDefault="00254EE8" w:rsidP="004106FA">
      <w:pPr>
        <w:ind w:firstLine="708"/>
        <w:jc w:val="both"/>
        <w:rPr>
          <w:sz w:val="28"/>
          <w:szCs w:val="28"/>
        </w:rPr>
      </w:pPr>
      <w:r w:rsidRPr="00685D0E">
        <w:rPr>
          <w:sz w:val="28"/>
          <w:szCs w:val="28"/>
        </w:rPr>
        <w:t>Совершенствование методов лечения воспалительных заболеваний пародонта на протяжении последних лет является важнейшей задачей стоматологии [</w:t>
      </w:r>
      <w:r w:rsidRPr="00685D0E">
        <w:rPr>
          <w:sz w:val="28"/>
          <w:szCs w:val="28"/>
          <w:lang w:val="en-US"/>
        </w:rPr>
        <w:t>Simon</w:t>
      </w:r>
      <w:r w:rsidRPr="00685D0E">
        <w:rPr>
          <w:sz w:val="28"/>
          <w:szCs w:val="28"/>
        </w:rPr>
        <w:t xml:space="preserve"> </w:t>
      </w:r>
      <w:r w:rsidRPr="00685D0E">
        <w:rPr>
          <w:sz w:val="28"/>
          <w:szCs w:val="28"/>
          <w:lang w:val="en-US"/>
        </w:rPr>
        <w:t>B</w:t>
      </w:r>
      <w:r w:rsidRPr="00685D0E">
        <w:rPr>
          <w:sz w:val="28"/>
          <w:szCs w:val="28"/>
        </w:rPr>
        <w:t>.</w:t>
      </w:r>
      <w:r w:rsidRPr="00685D0E">
        <w:rPr>
          <w:sz w:val="28"/>
          <w:szCs w:val="28"/>
          <w:lang w:val="en-US"/>
        </w:rPr>
        <w:t>R</w:t>
      </w:r>
      <w:r w:rsidRPr="00685D0E">
        <w:rPr>
          <w:sz w:val="28"/>
          <w:szCs w:val="28"/>
        </w:rPr>
        <w:t xml:space="preserve">. </w:t>
      </w:r>
      <w:r w:rsidRPr="00685D0E">
        <w:rPr>
          <w:sz w:val="28"/>
          <w:szCs w:val="28"/>
          <w:lang w:val="en-US"/>
        </w:rPr>
        <w:t>et</w:t>
      </w:r>
      <w:r w:rsidRPr="00685D0E">
        <w:rPr>
          <w:sz w:val="28"/>
          <w:szCs w:val="28"/>
        </w:rPr>
        <w:t xml:space="preserve"> </w:t>
      </w:r>
      <w:r w:rsidRPr="00685D0E">
        <w:rPr>
          <w:sz w:val="28"/>
          <w:szCs w:val="28"/>
          <w:lang w:val="en-US"/>
        </w:rPr>
        <w:t>al</w:t>
      </w:r>
      <w:r w:rsidRPr="00685D0E">
        <w:rPr>
          <w:sz w:val="28"/>
          <w:szCs w:val="28"/>
        </w:rPr>
        <w:t>., 2007], решение которой в значительной мере находится в сфере новых научно-практических направлений медицины – фармакоэпидемиологии и фармакоэкономики.</w:t>
      </w:r>
    </w:p>
    <w:p w:rsidR="00254EE8" w:rsidRPr="00685D0E" w:rsidRDefault="00254EE8" w:rsidP="004106FA">
      <w:pPr>
        <w:ind w:firstLine="708"/>
        <w:jc w:val="both"/>
        <w:rPr>
          <w:sz w:val="28"/>
          <w:szCs w:val="28"/>
        </w:rPr>
      </w:pPr>
      <w:r w:rsidRPr="00685D0E">
        <w:rPr>
          <w:sz w:val="28"/>
          <w:szCs w:val="28"/>
        </w:rPr>
        <w:t>Фармакоэпидемиология является разделом клинической фармакологии, изучающим применение лекарственных средств (ЛС) и их эффектов на уровне групп людей, с целью рационального и благоприятного применения наиболее эффективных и безопасных ЛС [Strom B.L., 1994; Страчунский Л.С. и соавт., 2002]. Фармакоэкономика – является разделом медицинской экономики, которая занимается сравнительной оценкой различных методов лечения на основе взаимосвязанного комплексного учета результатов лечения и связанных с ним экономических затрат, что позволяет оптимизировать схемы лечения, опираясь на данные об эффективности и безопасности ЛС и лечебных программ [Петров В.И., 2009].</w:t>
      </w:r>
    </w:p>
    <w:p w:rsidR="00254EE8" w:rsidRPr="00685D0E" w:rsidRDefault="00254EE8" w:rsidP="004106FA">
      <w:pPr>
        <w:ind w:firstLine="708"/>
        <w:jc w:val="both"/>
        <w:rPr>
          <w:sz w:val="28"/>
          <w:szCs w:val="28"/>
        </w:rPr>
      </w:pPr>
      <w:r w:rsidRPr="00685D0E">
        <w:rPr>
          <w:sz w:val="28"/>
          <w:szCs w:val="28"/>
        </w:rPr>
        <w:t>Необходимо подчеркнуть, что фармакоэпидемиологические и фармакоэкономические исследования, являются специфичными для каждого региона и/или страны, что обусловлено, прежде всего, различием между странами в эпидемиологии заболеваний, стоимости медицинских услуг, ЛС и источников финансирования систем здравоохранения, что делает невозможным прямой перенос данных зарубежных исследований на систему здравоохранения Кыргызской Республики.</w:t>
      </w:r>
    </w:p>
    <w:p w:rsidR="00254EE8" w:rsidRPr="00685D0E" w:rsidRDefault="00254EE8" w:rsidP="004106FA">
      <w:pPr>
        <w:ind w:firstLine="708"/>
        <w:jc w:val="both"/>
        <w:rPr>
          <w:sz w:val="28"/>
          <w:szCs w:val="28"/>
        </w:rPr>
      </w:pPr>
      <w:r w:rsidRPr="00685D0E">
        <w:rPr>
          <w:sz w:val="28"/>
          <w:szCs w:val="28"/>
        </w:rPr>
        <w:t>Таким образом, проведение научного исследования, направленного на фармакоэпидемиологическую и фармакоэкономическую оценку, для выявления путей оптимизации лечения хронического пародонтита является актуальным направлением исследовательской работы в стоматологии.</w:t>
      </w:r>
    </w:p>
    <w:p w:rsidR="00254EE8" w:rsidRPr="00685D0E" w:rsidRDefault="00254EE8" w:rsidP="004106FA">
      <w:pPr>
        <w:spacing w:before="120"/>
        <w:ind w:firstLine="839"/>
        <w:jc w:val="both"/>
        <w:rPr>
          <w:color w:val="000000"/>
          <w:sz w:val="28"/>
          <w:szCs w:val="28"/>
        </w:rPr>
      </w:pPr>
      <w:r w:rsidRPr="00685D0E">
        <w:rPr>
          <w:b/>
          <w:color w:val="000000"/>
          <w:sz w:val="28"/>
          <w:szCs w:val="28"/>
        </w:rPr>
        <w:t xml:space="preserve">Связь темы диссертации с научными программами и с основными научно – исследовательскими работами.  </w:t>
      </w:r>
      <w:r w:rsidRPr="00685D0E">
        <w:rPr>
          <w:color w:val="000000"/>
          <w:sz w:val="28"/>
          <w:szCs w:val="28"/>
        </w:rPr>
        <w:t>Диссертационная работа выполнена в рамках НИР кафедры терапевтической стоматологии КГМА «Оптимизация комплексной терапии пародонтита с использованием противовоспалительных и иммунокоррегирующих препаратов», номер государственной регистрации 0001569.</w:t>
      </w:r>
    </w:p>
    <w:p w:rsidR="004106FA" w:rsidRPr="004106FA" w:rsidRDefault="00254EE8" w:rsidP="00920F6F">
      <w:pPr>
        <w:ind w:firstLine="709"/>
        <w:jc w:val="both"/>
        <w:rPr>
          <w:sz w:val="28"/>
          <w:szCs w:val="28"/>
        </w:rPr>
      </w:pPr>
      <w:r w:rsidRPr="00685D0E">
        <w:rPr>
          <w:b/>
          <w:sz w:val="28"/>
          <w:szCs w:val="28"/>
        </w:rPr>
        <w:t>Цель исследования</w:t>
      </w:r>
      <w:r w:rsidRPr="00685D0E">
        <w:rPr>
          <w:sz w:val="28"/>
          <w:szCs w:val="28"/>
        </w:rPr>
        <w:t xml:space="preserve"> – провести сравнительный клинический,</w:t>
      </w:r>
      <w:r w:rsidRPr="00522193">
        <w:rPr>
          <w:sz w:val="28"/>
          <w:szCs w:val="28"/>
        </w:rPr>
        <w:t xml:space="preserve"> фармакоэпидемиологический анализ и фармакоэкономическую оценку лечения хронического пародонтита средней степени тяжести для ее оптимизации.</w:t>
      </w:r>
    </w:p>
    <w:p w:rsidR="004106FA" w:rsidRDefault="004106FA" w:rsidP="004106FA">
      <w:pPr>
        <w:ind w:firstLine="709"/>
        <w:rPr>
          <w:b/>
          <w:sz w:val="28"/>
          <w:szCs w:val="28"/>
        </w:rPr>
      </w:pPr>
    </w:p>
    <w:p w:rsidR="004106FA" w:rsidRDefault="004106FA" w:rsidP="004106FA">
      <w:pPr>
        <w:ind w:firstLine="709"/>
        <w:rPr>
          <w:b/>
          <w:sz w:val="28"/>
          <w:szCs w:val="28"/>
        </w:rPr>
      </w:pPr>
    </w:p>
    <w:p w:rsidR="004106FA" w:rsidRDefault="004106FA" w:rsidP="004106FA">
      <w:pPr>
        <w:ind w:firstLine="709"/>
        <w:rPr>
          <w:b/>
          <w:sz w:val="28"/>
          <w:szCs w:val="28"/>
        </w:rPr>
      </w:pPr>
    </w:p>
    <w:p w:rsidR="00254EE8" w:rsidRDefault="00254EE8" w:rsidP="004106FA">
      <w:pPr>
        <w:ind w:firstLine="709"/>
        <w:rPr>
          <w:b/>
          <w:sz w:val="28"/>
          <w:szCs w:val="28"/>
        </w:rPr>
      </w:pPr>
      <w:r w:rsidRPr="000953AF">
        <w:rPr>
          <w:b/>
          <w:sz w:val="28"/>
          <w:szCs w:val="28"/>
        </w:rPr>
        <w:lastRenderedPageBreak/>
        <w:t>Задачи исследования</w:t>
      </w:r>
    </w:p>
    <w:p w:rsidR="00254EE8" w:rsidRDefault="00254EE8" w:rsidP="004106FA">
      <w:pPr>
        <w:numPr>
          <w:ilvl w:val="0"/>
          <w:numId w:val="1"/>
        </w:numPr>
        <w:jc w:val="both"/>
        <w:rPr>
          <w:sz w:val="28"/>
          <w:szCs w:val="28"/>
        </w:rPr>
      </w:pPr>
      <w:r>
        <w:rPr>
          <w:sz w:val="28"/>
          <w:szCs w:val="28"/>
        </w:rPr>
        <w:t>Провести</w:t>
      </w:r>
      <w:r w:rsidRPr="009776A1">
        <w:rPr>
          <w:sz w:val="28"/>
          <w:szCs w:val="28"/>
        </w:rPr>
        <w:t xml:space="preserve"> </w:t>
      </w:r>
      <w:r>
        <w:rPr>
          <w:sz w:val="28"/>
          <w:szCs w:val="28"/>
        </w:rPr>
        <w:t xml:space="preserve">ретроспективный </w:t>
      </w:r>
      <w:r w:rsidRPr="009776A1">
        <w:rPr>
          <w:sz w:val="28"/>
          <w:szCs w:val="28"/>
        </w:rPr>
        <w:t>анализ</w:t>
      </w:r>
      <w:r>
        <w:rPr>
          <w:sz w:val="28"/>
          <w:szCs w:val="28"/>
        </w:rPr>
        <w:t xml:space="preserve"> стоматологической заболеваемости </w:t>
      </w:r>
      <w:r w:rsidRPr="00E75039">
        <w:rPr>
          <w:sz w:val="28"/>
        </w:rPr>
        <w:t>и показателей</w:t>
      </w:r>
      <w:r>
        <w:rPr>
          <w:sz w:val="28"/>
        </w:rPr>
        <w:t xml:space="preserve"> лечебно-диагностической</w:t>
      </w:r>
      <w:r w:rsidRPr="00E75039">
        <w:rPr>
          <w:sz w:val="28"/>
        </w:rPr>
        <w:t xml:space="preserve"> деятельности стоматологических клиник </w:t>
      </w:r>
      <w:r>
        <w:rPr>
          <w:sz w:val="28"/>
        </w:rPr>
        <w:t>в</w:t>
      </w:r>
      <w:r w:rsidRPr="00E75039">
        <w:rPr>
          <w:sz w:val="28"/>
        </w:rPr>
        <w:t xml:space="preserve"> г. Бишкек</w:t>
      </w:r>
      <w:r>
        <w:rPr>
          <w:sz w:val="28"/>
        </w:rPr>
        <w:t>.</w:t>
      </w:r>
    </w:p>
    <w:p w:rsidR="00254EE8" w:rsidRDefault="00254EE8" w:rsidP="004106FA">
      <w:pPr>
        <w:numPr>
          <w:ilvl w:val="0"/>
          <w:numId w:val="1"/>
        </w:numPr>
        <w:jc w:val="both"/>
        <w:rPr>
          <w:sz w:val="28"/>
          <w:szCs w:val="28"/>
        </w:rPr>
      </w:pPr>
      <w:r w:rsidRPr="00E75039">
        <w:rPr>
          <w:sz w:val="28"/>
          <w:szCs w:val="28"/>
        </w:rPr>
        <w:t>Изуч</w:t>
      </w:r>
      <w:r>
        <w:rPr>
          <w:sz w:val="28"/>
          <w:szCs w:val="28"/>
        </w:rPr>
        <w:t>ить</w:t>
      </w:r>
      <w:r w:rsidRPr="00E75039">
        <w:rPr>
          <w:sz w:val="28"/>
          <w:szCs w:val="28"/>
        </w:rPr>
        <w:t xml:space="preserve"> </w:t>
      </w:r>
      <w:r w:rsidRPr="00EC7216">
        <w:rPr>
          <w:sz w:val="28"/>
          <w:szCs w:val="28"/>
        </w:rPr>
        <w:t>существующую практику комплексного лечения хронических</w:t>
      </w:r>
      <w:r w:rsidRPr="007F405A">
        <w:rPr>
          <w:sz w:val="28"/>
          <w:szCs w:val="28"/>
          <w:highlight w:val="cyan"/>
        </w:rPr>
        <w:t xml:space="preserve"> </w:t>
      </w:r>
      <w:r w:rsidRPr="00EC7216">
        <w:rPr>
          <w:sz w:val="28"/>
          <w:szCs w:val="28"/>
        </w:rPr>
        <w:t>воспалительных заболеваний</w:t>
      </w:r>
      <w:r>
        <w:rPr>
          <w:sz w:val="28"/>
          <w:szCs w:val="28"/>
        </w:rPr>
        <w:t xml:space="preserve"> пародонта в стоматологических клиниках г. Бишкек. </w:t>
      </w:r>
    </w:p>
    <w:p w:rsidR="00254EE8" w:rsidRPr="00FE16A9" w:rsidRDefault="00254EE8" w:rsidP="004106FA">
      <w:pPr>
        <w:numPr>
          <w:ilvl w:val="0"/>
          <w:numId w:val="1"/>
        </w:numPr>
        <w:jc w:val="both"/>
        <w:rPr>
          <w:sz w:val="28"/>
          <w:szCs w:val="28"/>
        </w:rPr>
      </w:pPr>
      <w:r w:rsidRPr="00FE16A9">
        <w:rPr>
          <w:sz w:val="28"/>
          <w:szCs w:val="28"/>
        </w:rPr>
        <w:t xml:space="preserve">Провести </w:t>
      </w:r>
      <w:r w:rsidRPr="00EC7216">
        <w:rPr>
          <w:sz w:val="28"/>
          <w:szCs w:val="28"/>
        </w:rPr>
        <w:t>сравнительную оценку клинической эффективности различных методов комплексного</w:t>
      </w:r>
      <w:r w:rsidRPr="00FE16A9">
        <w:rPr>
          <w:sz w:val="28"/>
          <w:szCs w:val="28"/>
        </w:rPr>
        <w:t xml:space="preserve"> лечения хронического генерализованного пародонтита средней тяжести.   </w:t>
      </w:r>
    </w:p>
    <w:p w:rsidR="00254EE8" w:rsidRDefault="00254EE8" w:rsidP="004106FA">
      <w:pPr>
        <w:numPr>
          <w:ilvl w:val="0"/>
          <w:numId w:val="1"/>
        </w:numPr>
        <w:jc w:val="both"/>
        <w:rPr>
          <w:sz w:val="28"/>
          <w:szCs w:val="28"/>
        </w:rPr>
      </w:pPr>
      <w:r w:rsidRPr="009776A1">
        <w:rPr>
          <w:sz w:val="28"/>
          <w:szCs w:val="28"/>
        </w:rPr>
        <w:t xml:space="preserve">Провести фармакоэкономический анализ </w:t>
      </w:r>
      <w:r>
        <w:rPr>
          <w:sz w:val="28"/>
          <w:szCs w:val="28"/>
        </w:rPr>
        <w:t xml:space="preserve">эффективности </w:t>
      </w:r>
      <w:r w:rsidRPr="00EC7216">
        <w:rPr>
          <w:sz w:val="28"/>
          <w:szCs w:val="28"/>
        </w:rPr>
        <w:t>различных методов лечения</w:t>
      </w:r>
      <w:r w:rsidRPr="009776A1">
        <w:rPr>
          <w:sz w:val="28"/>
          <w:szCs w:val="28"/>
        </w:rPr>
        <w:t xml:space="preserve"> больных хроническим </w:t>
      </w:r>
      <w:r w:rsidRPr="00E75039">
        <w:rPr>
          <w:sz w:val="28"/>
          <w:szCs w:val="28"/>
        </w:rPr>
        <w:t>генерализованн</w:t>
      </w:r>
      <w:r>
        <w:rPr>
          <w:sz w:val="28"/>
          <w:szCs w:val="28"/>
        </w:rPr>
        <w:t>ым</w:t>
      </w:r>
      <w:r w:rsidRPr="00E75039">
        <w:rPr>
          <w:sz w:val="28"/>
          <w:szCs w:val="28"/>
        </w:rPr>
        <w:t xml:space="preserve"> пародонтит</w:t>
      </w:r>
      <w:r>
        <w:rPr>
          <w:sz w:val="28"/>
          <w:szCs w:val="28"/>
        </w:rPr>
        <w:t>ом</w:t>
      </w:r>
      <w:r w:rsidRPr="00E75039">
        <w:rPr>
          <w:sz w:val="28"/>
          <w:szCs w:val="28"/>
        </w:rPr>
        <w:t xml:space="preserve"> средней степени тяжести</w:t>
      </w:r>
      <w:r>
        <w:rPr>
          <w:sz w:val="28"/>
          <w:szCs w:val="28"/>
        </w:rPr>
        <w:t>.</w:t>
      </w:r>
    </w:p>
    <w:p w:rsidR="004106FA" w:rsidRDefault="004106FA" w:rsidP="004106FA">
      <w:pPr>
        <w:ind w:left="360"/>
        <w:jc w:val="both"/>
        <w:rPr>
          <w:sz w:val="28"/>
          <w:szCs w:val="28"/>
        </w:rPr>
      </w:pPr>
    </w:p>
    <w:p w:rsidR="00254EE8" w:rsidRPr="000869A3" w:rsidRDefault="00254EE8" w:rsidP="004106FA">
      <w:pPr>
        <w:ind w:firstLine="360"/>
        <w:jc w:val="both"/>
        <w:rPr>
          <w:sz w:val="28"/>
          <w:szCs w:val="28"/>
        </w:rPr>
      </w:pPr>
      <w:r w:rsidRPr="000869A3">
        <w:rPr>
          <w:b/>
          <w:sz w:val="28"/>
          <w:szCs w:val="28"/>
        </w:rPr>
        <w:t>Научная новизна полученных результатов</w:t>
      </w:r>
      <w:r w:rsidR="004106FA">
        <w:rPr>
          <w:b/>
          <w:sz w:val="28"/>
          <w:szCs w:val="28"/>
        </w:rPr>
        <w:t xml:space="preserve">. </w:t>
      </w:r>
      <w:r w:rsidRPr="000869A3">
        <w:rPr>
          <w:sz w:val="28"/>
          <w:szCs w:val="28"/>
        </w:rPr>
        <w:t>Впервые проведено комплексное (фармакоэпидемиологический анализ с фармакоэкономической оценкой) исследование, направленное на оптимизацию схем лечения хронического генерализованного пародонтита средней степени тяжести.</w:t>
      </w:r>
    </w:p>
    <w:p w:rsidR="00254EE8" w:rsidRDefault="00254EE8" w:rsidP="004106FA">
      <w:pPr>
        <w:ind w:firstLine="840"/>
        <w:jc w:val="both"/>
        <w:rPr>
          <w:sz w:val="28"/>
          <w:szCs w:val="28"/>
        </w:rPr>
      </w:pPr>
      <w:r w:rsidRPr="000869A3">
        <w:rPr>
          <w:sz w:val="28"/>
          <w:szCs w:val="28"/>
        </w:rPr>
        <w:t>Впервые проведен анализ информированности врачей-стоматологов о диагностических и лечебных методах применяемых для лечения хронических воспалительных заболеваний тканей пародонта. Дана оценка существующей практике использования ЛС различных фармакологических групп для лечения хронических воспалительных заболеваний тканей пародонта.</w:t>
      </w:r>
    </w:p>
    <w:p w:rsidR="00254EE8" w:rsidRDefault="00254EE8" w:rsidP="004106FA">
      <w:pPr>
        <w:shd w:val="clear" w:color="auto" w:fill="FFFFFF"/>
        <w:ind w:left="10" w:firstLine="698"/>
        <w:jc w:val="both"/>
        <w:rPr>
          <w:sz w:val="28"/>
          <w:szCs w:val="28"/>
        </w:rPr>
      </w:pPr>
      <w:r>
        <w:rPr>
          <w:color w:val="000000"/>
          <w:sz w:val="28"/>
          <w:szCs w:val="28"/>
        </w:rPr>
        <w:t>Доказана клиническая эффективность лазерной терапии с использованием аппарата лазерного стоматологического терапевтического (</w:t>
      </w:r>
      <w:r w:rsidRPr="00B17529">
        <w:rPr>
          <w:sz w:val="28"/>
          <w:szCs w:val="28"/>
        </w:rPr>
        <w:t>АЛСТ</w:t>
      </w:r>
      <w:r w:rsidRPr="00B17529">
        <w:rPr>
          <w:color w:val="000000"/>
          <w:sz w:val="28"/>
          <w:szCs w:val="28"/>
        </w:rPr>
        <w:t xml:space="preserve"> </w:t>
      </w:r>
      <w:r>
        <w:rPr>
          <w:color w:val="000000"/>
          <w:sz w:val="28"/>
          <w:szCs w:val="28"/>
        </w:rPr>
        <w:t xml:space="preserve">– 01) «ОПТОДАН», производство России и макролидного антибактериального препарата – </w:t>
      </w:r>
      <w:r w:rsidRPr="004752D8">
        <w:rPr>
          <w:color w:val="000000"/>
          <w:sz w:val="28"/>
          <w:szCs w:val="28"/>
        </w:rPr>
        <w:t>спирамицина (ровамицина)</w:t>
      </w:r>
      <w:r>
        <w:rPr>
          <w:color w:val="000000"/>
          <w:sz w:val="28"/>
          <w:szCs w:val="28"/>
        </w:rPr>
        <w:t xml:space="preserve"> при комплексном лечении </w:t>
      </w:r>
      <w:r w:rsidRPr="00137BB6">
        <w:rPr>
          <w:sz w:val="28"/>
          <w:szCs w:val="28"/>
        </w:rPr>
        <w:t>хронического генерализованного пародонтита средней степени тяжест</w:t>
      </w:r>
      <w:r>
        <w:rPr>
          <w:sz w:val="28"/>
          <w:szCs w:val="28"/>
        </w:rPr>
        <w:t>и.</w:t>
      </w:r>
    </w:p>
    <w:p w:rsidR="00254EE8" w:rsidRDefault="00254EE8" w:rsidP="004106FA">
      <w:pPr>
        <w:shd w:val="clear" w:color="auto" w:fill="FFFFFF"/>
        <w:ind w:left="10" w:firstLine="698"/>
        <w:jc w:val="both"/>
        <w:rPr>
          <w:sz w:val="28"/>
          <w:szCs w:val="28"/>
        </w:rPr>
      </w:pPr>
      <w:r>
        <w:rPr>
          <w:color w:val="000000"/>
          <w:sz w:val="28"/>
          <w:szCs w:val="28"/>
        </w:rPr>
        <w:t xml:space="preserve">Впервые дана сравнительная оценка </w:t>
      </w:r>
      <w:r>
        <w:rPr>
          <w:sz w:val="28"/>
          <w:szCs w:val="28"/>
        </w:rPr>
        <w:t xml:space="preserve">клинической эффективности и экономической выгодности терапии хронического генерализованного пародонтита средней степени тяжести </w:t>
      </w:r>
      <w:r>
        <w:rPr>
          <w:sz w:val="28"/>
          <w:szCs w:val="28"/>
          <w:lang w:bidi="my-MM"/>
        </w:rPr>
        <w:t>ровамицином с лазеротерапией и ровамицином в сочетании с</w:t>
      </w:r>
      <w:r>
        <w:rPr>
          <w:sz w:val="28"/>
          <w:szCs w:val="28"/>
        </w:rPr>
        <w:t xml:space="preserve"> традиционной терапией при комплексном лечении.</w:t>
      </w:r>
    </w:p>
    <w:p w:rsidR="00254EE8" w:rsidRPr="00973630" w:rsidRDefault="00254EE8" w:rsidP="004106FA">
      <w:pPr>
        <w:ind w:left="10" w:firstLine="698"/>
        <w:jc w:val="both"/>
        <w:rPr>
          <w:sz w:val="28"/>
          <w:szCs w:val="28"/>
        </w:rPr>
      </w:pPr>
      <w:r w:rsidRPr="00973630">
        <w:rPr>
          <w:b/>
          <w:sz w:val="28"/>
          <w:szCs w:val="28"/>
        </w:rPr>
        <w:t>Практическая значимость полученных результатов</w:t>
      </w:r>
      <w:r w:rsidR="004106FA">
        <w:rPr>
          <w:b/>
          <w:sz w:val="28"/>
          <w:szCs w:val="28"/>
        </w:rPr>
        <w:t xml:space="preserve">. </w:t>
      </w:r>
      <w:r w:rsidRPr="00973630">
        <w:rPr>
          <w:sz w:val="28"/>
          <w:szCs w:val="28"/>
        </w:rPr>
        <w:t>В результате выполненной работы была проанализирована стоматологическая заболеваемость и дана оценка практики лечения хронических воспалительных заболеваний тканей пародонта в стоматологических поликлиниках в г. Бишкек.</w:t>
      </w:r>
    </w:p>
    <w:p w:rsidR="00254EE8" w:rsidRPr="00973630" w:rsidRDefault="00254EE8" w:rsidP="004106FA">
      <w:pPr>
        <w:ind w:firstLine="708"/>
        <w:jc w:val="both"/>
        <w:rPr>
          <w:sz w:val="28"/>
          <w:szCs w:val="28"/>
        </w:rPr>
      </w:pPr>
      <w:r w:rsidRPr="00973630">
        <w:rPr>
          <w:sz w:val="28"/>
          <w:szCs w:val="28"/>
        </w:rPr>
        <w:t>Разработаны клинически эффективные и экономиче</w:t>
      </w:r>
      <w:r>
        <w:rPr>
          <w:sz w:val="28"/>
          <w:szCs w:val="28"/>
        </w:rPr>
        <w:t xml:space="preserve">ски привлекательные </w:t>
      </w:r>
      <w:r w:rsidRPr="00973630">
        <w:rPr>
          <w:sz w:val="28"/>
          <w:szCs w:val="28"/>
        </w:rPr>
        <w:t>схемы комплексного лечения хронического генерализованного пародонтита средней степени тяжести: сочетание ровамицина с традиционным методом лечения и сочетание ровамицина с лазер</w:t>
      </w:r>
      <w:r>
        <w:rPr>
          <w:sz w:val="28"/>
          <w:szCs w:val="28"/>
        </w:rPr>
        <w:t>отерапией</w:t>
      </w:r>
      <w:r w:rsidRPr="00973630">
        <w:rPr>
          <w:sz w:val="28"/>
          <w:szCs w:val="28"/>
        </w:rPr>
        <w:t>.</w:t>
      </w:r>
    </w:p>
    <w:p w:rsidR="00254EE8" w:rsidRPr="00973630" w:rsidRDefault="00254EE8" w:rsidP="004106FA">
      <w:pPr>
        <w:ind w:firstLine="708"/>
        <w:jc w:val="both"/>
        <w:rPr>
          <w:sz w:val="28"/>
          <w:szCs w:val="28"/>
        </w:rPr>
      </w:pPr>
      <w:r w:rsidRPr="00973630">
        <w:rPr>
          <w:sz w:val="28"/>
          <w:szCs w:val="28"/>
        </w:rPr>
        <w:t xml:space="preserve">Результаты проведенных исследований внедрены и используются в образовательном процессе на кафедре терапевтической стоматологии и в </w:t>
      </w:r>
      <w:r w:rsidRPr="00973630">
        <w:rPr>
          <w:sz w:val="28"/>
          <w:szCs w:val="28"/>
        </w:rPr>
        <w:lastRenderedPageBreak/>
        <w:t>практической работе стоматологического учебно-научно-клинического центра Кыргызской государственной медицинской академии им. И.К. Ахунбаева.</w:t>
      </w:r>
    </w:p>
    <w:p w:rsidR="00254EE8" w:rsidRPr="004106FA" w:rsidRDefault="00254EE8" w:rsidP="004106FA">
      <w:pPr>
        <w:widowControl w:val="0"/>
        <w:adjustRightInd w:val="0"/>
        <w:ind w:left="360"/>
        <w:jc w:val="both"/>
        <w:textAlignment w:val="baseline"/>
        <w:rPr>
          <w:b/>
          <w:sz w:val="28"/>
          <w:szCs w:val="28"/>
        </w:rPr>
      </w:pPr>
      <w:r w:rsidRPr="00973630">
        <w:rPr>
          <w:b/>
          <w:sz w:val="28"/>
          <w:szCs w:val="28"/>
        </w:rPr>
        <w:t>Основные положения диссертации, выносимые на защиту</w:t>
      </w:r>
    </w:p>
    <w:p w:rsidR="00254EE8" w:rsidRPr="004106FA" w:rsidRDefault="00254EE8" w:rsidP="004106FA">
      <w:pPr>
        <w:widowControl w:val="0"/>
        <w:numPr>
          <w:ilvl w:val="0"/>
          <w:numId w:val="2"/>
        </w:numPr>
        <w:adjustRightInd w:val="0"/>
        <w:jc w:val="both"/>
        <w:textAlignment w:val="baseline"/>
        <w:rPr>
          <w:sz w:val="28"/>
          <w:szCs w:val="28"/>
        </w:rPr>
      </w:pPr>
      <w:r w:rsidRPr="00252341">
        <w:rPr>
          <w:sz w:val="28"/>
          <w:szCs w:val="28"/>
        </w:rPr>
        <w:t xml:space="preserve"> </w:t>
      </w:r>
      <w:r w:rsidRPr="00973630">
        <w:rPr>
          <w:sz w:val="28"/>
          <w:szCs w:val="28"/>
        </w:rPr>
        <w:t>На фоне роста общей стоматологической заболеваемости увеличивается частота хронических заболеваний органов ротовой по</w:t>
      </w:r>
      <w:r>
        <w:rPr>
          <w:sz w:val="28"/>
          <w:szCs w:val="28"/>
        </w:rPr>
        <w:t>лости среди взрослого населения.</w:t>
      </w:r>
    </w:p>
    <w:p w:rsidR="00254EE8" w:rsidRPr="004106FA" w:rsidRDefault="00254EE8" w:rsidP="004106FA">
      <w:pPr>
        <w:widowControl w:val="0"/>
        <w:numPr>
          <w:ilvl w:val="0"/>
          <w:numId w:val="2"/>
        </w:numPr>
        <w:adjustRightInd w:val="0"/>
        <w:jc w:val="both"/>
        <w:textAlignment w:val="baseline"/>
        <w:rPr>
          <w:sz w:val="28"/>
          <w:szCs w:val="28"/>
        </w:rPr>
      </w:pPr>
      <w:r w:rsidRPr="00973630">
        <w:rPr>
          <w:sz w:val="28"/>
          <w:szCs w:val="28"/>
        </w:rPr>
        <w:t>Сложившаяся практика лечения хронических воспалительных заболеваний пародонта в стоматологических клиниках г. Бишкек не соответствует современным представлениям и нуждается в оптимизации.</w:t>
      </w:r>
    </w:p>
    <w:p w:rsidR="00254EE8" w:rsidRPr="004106FA" w:rsidRDefault="00254EE8" w:rsidP="004106FA">
      <w:pPr>
        <w:widowControl w:val="0"/>
        <w:numPr>
          <w:ilvl w:val="0"/>
          <w:numId w:val="2"/>
        </w:numPr>
        <w:adjustRightInd w:val="0"/>
        <w:jc w:val="both"/>
        <w:textAlignment w:val="baseline"/>
        <w:rPr>
          <w:sz w:val="28"/>
          <w:szCs w:val="28"/>
        </w:rPr>
      </w:pPr>
      <w:r w:rsidRPr="00973630">
        <w:rPr>
          <w:sz w:val="28"/>
          <w:szCs w:val="28"/>
        </w:rPr>
        <w:t>Комплексное лечение хронического пародонтита средней степени тяжести ровамицином в сочетании с</w:t>
      </w:r>
      <w:r w:rsidRPr="007F4762">
        <w:rPr>
          <w:sz w:val="28"/>
          <w:szCs w:val="28"/>
        </w:rPr>
        <w:t xml:space="preserve"> </w:t>
      </w:r>
      <w:r w:rsidRPr="00973630">
        <w:rPr>
          <w:sz w:val="28"/>
          <w:szCs w:val="28"/>
        </w:rPr>
        <w:t>лазер</w:t>
      </w:r>
      <w:r>
        <w:rPr>
          <w:sz w:val="28"/>
          <w:szCs w:val="28"/>
        </w:rPr>
        <w:t>н</w:t>
      </w:r>
      <w:r w:rsidRPr="00973630">
        <w:rPr>
          <w:sz w:val="28"/>
          <w:szCs w:val="28"/>
        </w:rPr>
        <w:t>о</w:t>
      </w:r>
      <w:r>
        <w:rPr>
          <w:sz w:val="28"/>
          <w:szCs w:val="28"/>
        </w:rPr>
        <w:t xml:space="preserve">й </w:t>
      </w:r>
      <w:r w:rsidRPr="00973630">
        <w:rPr>
          <w:sz w:val="28"/>
          <w:szCs w:val="28"/>
        </w:rPr>
        <w:t xml:space="preserve">терапией или хлоргексидином биглюконатом с ровамицином </w:t>
      </w:r>
      <w:r>
        <w:rPr>
          <w:sz w:val="28"/>
          <w:szCs w:val="28"/>
        </w:rPr>
        <w:t>является клинически эффективным.</w:t>
      </w:r>
    </w:p>
    <w:p w:rsidR="00254EE8" w:rsidRPr="004106FA" w:rsidRDefault="00254EE8" w:rsidP="004106FA">
      <w:pPr>
        <w:numPr>
          <w:ilvl w:val="0"/>
          <w:numId w:val="2"/>
        </w:numPr>
        <w:jc w:val="both"/>
        <w:rPr>
          <w:bCs/>
          <w:sz w:val="28"/>
          <w:szCs w:val="28"/>
        </w:rPr>
      </w:pPr>
      <w:r>
        <w:rPr>
          <w:bCs/>
          <w:sz w:val="28"/>
          <w:szCs w:val="28"/>
        </w:rPr>
        <w:t xml:space="preserve">Фармакоэкономический анализ показал наибольшую </w:t>
      </w:r>
      <w:r w:rsidRPr="00EF54FD">
        <w:rPr>
          <w:bCs/>
          <w:sz w:val="28"/>
          <w:szCs w:val="28"/>
        </w:rPr>
        <w:t>экономическ</w:t>
      </w:r>
      <w:r>
        <w:rPr>
          <w:bCs/>
          <w:sz w:val="28"/>
          <w:szCs w:val="28"/>
        </w:rPr>
        <w:t xml:space="preserve">ую выгодность </w:t>
      </w:r>
      <w:r w:rsidRPr="00EF54FD">
        <w:rPr>
          <w:bCs/>
          <w:sz w:val="28"/>
          <w:szCs w:val="28"/>
        </w:rPr>
        <w:t xml:space="preserve">комплексного лечения хронического генерализованного пародонтита средней степени тяжести </w:t>
      </w:r>
      <w:r>
        <w:rPr>
          <w:bCs/>
          <w:sz w:val="28"/>
          <w:szCs w:val="28"/>
        </w:rPr>
        <w:t xml:space="preserve">при использовании системного введения </w:t>
      </w:r>
      <w:r w:rsidRPr="00EF54FD">
        <w:rPr>
          <w:bCs/>
          <w:sz w:val="28"/>
          <w:szCs w:val="28"/>
        </w:rPr>
        <w:t>ровамицин</w:t>
      </w:r>
      <w:r>
        <w:rPr>
          <w:bCs/>
          <w:sz w:val="28"/>
          <w:szCs w:val="28"/>
        </w:rPr>
        <w:t xml:space="preserve">а на фоне </w:t>
      </w:r>
      <w:r w:rsidRPr="004B2CA5">
        <w:rPr>
          <w:bCs/>
          <w:sz w:val="28"/>
          <w:szCs w:val="28"/>
        </w:rPr>
        <w:t>лазер</w:t>
      </w:r>
      <w:r>
        <w:rPr>
          <w:bCs/>
          <w:sz w:val="28"/>
          <w:szCs w:val="28"/>
        </w:rPr>
        <w:t>о</w:t>
      </w:r>
      <w:r w:rsidRPr="004B2CA5">
        <w:rPr>
          <w:bCs/>
          <w:sz w:val="28"/>
          <w:szCs w:val="28"/>
        </w:rPr>
        <w:t>терапии</w:t>
      </w:r>
      <w:r>
        <w:rPr>
          <w:bCs/>
          <w:sz w:val="28"/>
          <w:szCs w:val="28"/>
        </w:rPr>
        <w:t>.</w:t>
      </w:r>
    </w:p>
    <w:p w:rsidR="00254EE8" w:rsidRPr="00973630" w:rsidRDefault="00254EE8" w:rsidP="004106FA">
      <w:pPr>
        <w:ind w:firstLine="840"/>
        <w:jc w:val="both"/>
        <w:rPr>
          <w:sz w:val="28"/>
          <w:szCs w:val="28"/>
        </w:rPr>
      </w:pPr>
      <w:r w:rsidRPr="00265CFB">
        <w:rPr>
          <w:b/>
          <w:sz w:val="28"/>
          <w:szCs w:val="28"/>
        </w:rPr>
        <w:t>Личный вклад соискателя</w:t>
      </w:r>
      <w:r w:rsidR="004106FA">
        <w:rPr>
          <w:b/>
          <w:sz w:val="28"/>
          <w:szCs w:val="28"/>
        </w:rPr>
        <w:t xml:space="preserve">. </w:t>
      </w:r>
      <w:r w:rsidRPr="00973630">
        <w:rPr>
          <w:sz w:val="28"/>
          <w:szCs w:val="28"/>
        </w:rPr>
        <w:t>При выполнении исследований автором самостоятельно проведен сбор, анализ и системат</w:t>
      </w:r>
      <w:r>
        <w:rPr>
          <w:sz w:val="28"/>
          <w:szCs w:val="28"/>
        </w:rPr>
        <w:t>изация литературных данных</w:t>
      </w:r>
      <w:r w:rsidRPr="00973630">
        <w:rPr>
          <w:sz w:val="28"/>
          <w:szCs w:val="28"/>
        </w:rPr>
        <w:t>. Автор самостоятельно проводил сбор клинических данных по диагностике и лечению хронических генерализованных парадонтитов средней степени тяжести,</w:t>
      </w:r>
      <w:r>
        <w:rPr>
          <w:sz w:val="28"/>
          <w:szCs w:val="28"/>
        </w:rPr>
        <w:t xml:space="preserve"> осуществлял опрос врачей стоматологов,</w:t>
      </w:r>
      <w:r w:rsidRPr="00973630">
        <w:rPr>
          <w:sz w:val="28"/>
          <w:szCs w:val="28"/>
        </w:rPr>
        <w:t xml:space="preserve"> статистическую обработку цифровых данных, их анализ и обобщение. Все результаты, приведенные в диссертационной работе, получены автором лично.</w:t>
      </w:r>
    </w:p>
    <w:p w:rsidR="00254EE8" w:rsidRDefault="00254EE8" w:rsidP="004106FA">
      <w:pPr>
        <w:ind w:firstLine="709"/>
        <w:jc w:val="both"/>
        <w:rPr>
          <w:sz w:val="28"/>
          <w:szCs w:val="28"/>
        </w:rPr>
      </w:pPr>
      <w:r w:rsidRPr="006F018D">
        <w:rPr>
          <w:b/>
          <w:sz w:val="28"/>
          <w:szCs w:val="28"/>
        </w:rPr>
        <w:t xml:space="preserve">Апробация результатов </w:t>
      </w:r>
      <w:r w:rsidR="004106FA">
        <w:rPr>
          <w:b/>
          <w:sz w:val="28"/>
          <w:szCs w:val="28"/>
        </w:rPr>
        <w:t xml:space="preserve">исследования. </w:t>
      </w:r>
      <w:r w:rsidRPr="00265CFB">
        <w:rPr>
          <w:sz w:val="28"/>
          <w:szCs w:val="28"/>
        </w:rPr>
        <w:t>Основные положения работы доложены и обсуждены на</w:t>
      </w:r>
      <w:r>
        <w:rPr>
          <w:sz w:val="28"/>
          <w:szCs w:val="28"/>
        </w:rPr>
        <w:t xml:space="preserve"> </w:t>
      </w:r>
      <w:r>
        <w:rPr>
          <w:sz w:val="28"/>
          <w:szCs w:val="28"/>
          <w:lang w:val="en-US"/>
        </w:rPr>
        <w:t>II</w:t>
      </w:r>
      <w:r w:rsidRPr="00AB39BF">
        <w:rPr>
          <w:sz w:val="28"/>
          <w:szCs w:val="28"/>
        </w:rPr>
        <w:t xml:space="preserve"> </w:t>
      </w:r>
      <w:r>
        <w:rPr>
          <w:sz w:val="28"/>
          <w:szCs w:val="28"/>
        </w:rPr>
        <w:t xml:space="preserve">Международной конференции «Приоритеты фармации и стоматологии: от теории к практике» в КазНМУ им. </w:t>
      </w:r>
      <w:r w:rsidRPr="00AB39BF">
        <w:rPr>
          <w:sz w:val="28"/>
          <w:szCs w:val="28"/>
        </w:rPr>
        <w:t xml:space="preserve">С.Д. Асфендиярова (г. Алматы, 27 </w:t>
      </w:r>
      <w:r>
        <w:rPr>
          <w:sz w:val="28"/>
          <w:szCs w:val="28"/>
        </w:rPr>
        <w:t xml:space="preserve">ноября, 2013г); </w:t>
      </w:r>
      <w:r w:rsidRPr="00AB39BF">
        <w:rPr>
          <w:sz w:val="28"/>
          <w:szCs w:val="28"/>
        </w:rPr>
        <w:t>межкафедральном заседании</w:t>
      </w:r>
      <w:r>
        <w:rPr>
          <w:sz w:val="28"/>
          <w:szCs w:val="28"/>
        </w:rPr>
        <w:t xml:space="preserve"> кафедр терапевтической стоматологии КГМА им. И.К. Ахунбаева и Кыргызско-Российского Славянского Университета (КРСУ) им. Б.Н. Ельцина (г. Бишкек, апрель, 2014г.).</w:t>
      </w:r>
    </w:p>
    <w:p w:rsidR="00254EE8" w:rsidRDefault="00254EE8" w:rsidP="004106FA">
      <w:pPr>
        <w:ind w:firstLine="709"/>
        <w:jc w:val="both"/>
        <w:rPr>
          <w:b/>
          <w:sz w:val="28"/>
          <w:szCs w:val="28"/>
        </w:rPr>
      </w:pPr>
      <w:r w:rsidRPr="00265CFB">
        <w:rPr>
          <w:b/>
          <w:sz w:val="28"/>
          <w:szCs w:val="28"/>
        </w:rPr>
        <w:t>Полнота отражения резуль</w:t>
      </w:r>
      <w:r>
        <w:rPr>
          <w:b/>
          <w:sz w:val="28"/>
          <w:szCs w:val="28"/>
        </w:rPr>
        <w:t>татов диссертации в публикациях</w:t>
      </w:r>
    </w:p>
    <w:p w:rsidR="00254EE8" w:rsidRPr="004106FA" w:rsidRDefault="00254EE8" w:rsidP="004106FA">
      <w:pPr>
        <w:ind w:firstLine="709"/>
        <w:jc w:val="both"/>
        <w:rPr>
          <w:sz w:val="28"/>
          <w:szCs w:val="28"/>
        </w:rPr>
      </w:pPr>
      <w:r w:rsidRPr="00FA15F9">
        <w:rPr>
          <w:bCs/>
          <w:sz w:val="28"/>
          <w:szCs w:val="28"/>
        </w:rPr>
        <w:t>Основные положения диссерта</w:t>
      </w:r>
      <w:r>
        <w:rPr>
          <w:bCs/>
          <w:sz w:val="28"/>
          <w:szCs w:val="28"/>
        </w:rPr>
        <w:t xml:space="preserve">ции отражены в </w:t>
      </w:r>
      <w:r>
        <w:rPr>
          <w:sz w:val="28"/>
          <w:szCs w:val="28"/>
        </w:rPr>
        <w:t>11</w:t>
      </w:r>
      <w:r w:rsidRPr="00A97087">
        <w:rPr>
          <w:sz w:val="28"/>
          <w:szCs w:val="28"/>
        </w:rPr>
        <w:t xml:space="preserve"> </w:t>
      </w:r>
      <w:r w:rsidRPr="0084643D">
        <w:rPr>
          <w:sz w:val="28"/>
          <w:szCs w:val="28"/>
        </w:rPr>
        <w:t>научны</w:t>
      </w:r>
      <w:r>
        <w:rPr>
          <w:sz w:val="28"/>
          <w:szCs w:val="28"/>
        </w:rPr>
        <w:t>х</w:t>
      </w:r>
      <w:r w:rsidRPr="0084643D">
        <w:rPr>
          <w:sz w:val="28"/>
          <w:szCs w:val="28"/>
        </w:rPr>
        <w:t xml:space="preserve"> работ</w:t>
      </w:r>
      <w:r>
        <w:rPr>
          <w:sz w:val="28"/>
          <w:szCs w:val="28"/>
        </w:rPr>
        <w:t>ах</w:t>
      </w:r>
      <w:r w:rsidRPr="0084643D">
        <w:rPr>
          <w:sz w:val="28"/>
          <w:szCs w:val="28"/>
        </w:rPr>
        <w:t xml:space="preserve">, </w:t>
      </w:r>
      <w:r>
        <w:rPr>
          <w:bCs/>
          <w:sz w:val="28"/>
          <w:szCs w:val="28"/>
        </w:rPr>
        <w:t xml:space="preserve">опубликованных в </w:t>
      </w:r>
      <w:r>
        <w:rPr>
          <w:sz w:val="28"/>
          <w:szCs w:val="28"/>
        </w:rPr>
        <w:t>рецензируемых н</w:t>
      </w:r>
      <w:r>
        <w:rPr>
          <w:bCs/>
          <w:sz w:val="28"/>
          <w:szCs w:val="28"/>
        </w:rPr>
        <w:t xml:space="preserve">аучных журналах, рекомендованных </w:t>
      </w:r>
      <w:r>
        <w:rPr>
          <w:sz w:val="28"/>
          <w:szCs w:val="28"/>
        </w:rPr>
        <w:t xml:space="preserve">ВАК КР, из них 3 статьи – единоличные и </w:t>
      </w:r>
      <w:r w:rsidRPr="0084643D">
        <w:rPr>
          <w:sz w:val="28"/>
          <w:szCs w:val="28"/>
        </w:rPr>
        <w:t xml:space="preserve"> </w:t>
      </w:r>
      <w:r>
        <w:rPr>
          <w:sz w:val="28"/>
          <w:szCs w:val="28"/>
        </w:rPr>
        <w:t>2</w:t>
      </w:r>
      <w:r w:rsidRPr="0084643D">
        <w:rPr>
          <w:sz w:val="28"/>
          <w:szCs w:val="28"/>
        </w:rPr>
        <w:t xml:space="preserve"> </w:t>
      </w:r>
      <w:r>
        <w:rPr>
          <w:sz w:val="28"/>
          <w:szCs w:val="28"/>
        </w:rPr>
        <w:t xml:space="preserve">- </w:t>
      </w:r>
      <w:r w:rsidRPr="0084643D">
        <w:rPr>
          <w:sz w:val="28"/>
          <w:szCs w:val="28"/>
        </w:rPr>
        <w:t>международных публикаци</w:t>
      </w:r>
      <w:r>
        <w:rPr>
          <w:sz w:val="28"/>
          <w:szCs w:val="28"/>
        </w:rPr>
        <w:t>и</w:t>
      </w:r>
      <w:r w:rsidRPr="0084643D">
        <w:rPr>
          <w:i/>
          <w:sz w:val="28"/>
          <w:szCs w:val="28"/>
        </w:rPr>
        <w:t>.</w:t>
      </w:r>
      <w:r w:rsidRPr="0084643D">
        <w:rPr>
          <w:sz w:val="28"/>
          <w:szCs w:val="28"/>
        </w:rPr>
        <w:t xml:space="preserve"> </w:t>
      </w:r>
    </w:p>
    <w:p w:rsidR="00254EE8" w:rsidRDefault="00254EE8" w:rsidP="004106FA">
      <w:pPr>
        <w:ind w:firstLine="720"/>
        <w:jc w:val="both"/>
        <w:rPr>
          <w:sz w:val="28"/>
          <w:szCs w:val="28"/>
        </w:rPr>
      </w:pPr>
      <w:r w:rsidRPr="0084643D">
        <w:rPr>
          <w:b/>
          <w:sz w:val="28"/>
          <w:szCs w:val="28"/>
          <w:lang w:val="kk-KZ"/>
        </w:rPr>
        <w:t>Структура и объем диссертации</w:t>
      </w:r>
      <w:r w:rsidR="004106FA">
        <w:rPr>
          <w:b/>
          <w:sz w:val="28"/>
          <w:szCs w:val="28"/>
          <w:lang w:val="kk-KZ"/>
        </w:rPr>
        <w:t xml:space="preserve">. </w:t>
      </w:r>
      <w:r w:rsidRPr="0084643D">
        <w:rPr>
          <w:sz w:val="28"/>
          <w:szCs w:val="28"/>
        </w:rPr>
        <w:t xml:space="preserve">Диссертационная работа состоит </w:t>
      </w:r>
      <w:r>
        <w:rPr>
          <w:sz w:val="28"/>
          <w:szCs w:val="28"/>
        </w:rPr>
        <w:t xml:space="preserve">из введения, обзора литературы; </w:t>
      </w:r>
      <w:r w:rsidRPr="0084643D">
        <w:rPr>
          <w:sz w:val="28"/>
          <w:szCs w:val="28"/>
        </w:rPr>
        <w:t>главы, описывающей</w:t>
      </w:r>
      <w:r>
        <w:rPr>
          <w:sz w:val="28"/>
          <w:szCs w:val="28"/>
        </w:rPr>
        <w:t xml:space="preserve"> материал и методы исследования;</w:t>
      </w:r>
      <w:r w:rsidRPr="0084643D">
        <w:rPr>
          <w:sz w:val="28"/>
          <w:szCs w:val="28"/>
        </w:rPr>
        <w:t xml:space="preserve"> </w:t>
      </w:r>
      <w:r>
        <w:rPr>
          <w:sz w:val="28"/>
          <w:szCs w:val="28"/>
        </w:rPr>
        <w:t>3</w:t>
      </w:r>
      <w:r w:rsidRPr="0084643D">
        <w:rPr>
          <w:sz w:val="28"/>
          <w:szCs w:val="28"/>
        </w:rPr>
        <w:t>-х глав по резул</w:t>
      </w:r>
      <w:r>
        <w:rPr>
          <w:sz w:val="28"/>
          <w:szCs w:val="28"/>
        </w:rPr>
        <w:t>ьтатам собственных исследований;</w:t>
      </w:r>
      <w:r w:rsidRPr="0084643D">
        <w:rPr>
          <w:sz w:val="28"/>
          <w:szCs w:val="28"/>
        </w:rPr>
        <w:t xml:space="preserve"> выв</w:t>
      </w:r>
      <w:r>
        <w:rPr>
          <w:sz w:val="28"/>
          <w:szCs w:val="28"/>
        </w:rPr>
        <w:t>одов, практических рекомендаций;</w:t>
      </w:r>
      <w:r w:rsidRPr="0084643D">
        <w:rPr>
          <w:sz w:val="28"/>
          <w:szCs w:val="28"/>
        </w:rPr>
        <w:t xml:space="preserve"> списка использованных источников, </w:t>
      </w:r>
      <w:r w:rsidRPr="00FA15F9">
        <w:rPr>
          <w:sz w:val="28"/>
          <w:szCs w:val="28"/>
        </w:rPr>
        <w:t>включающ</w:t>
      </w:r>
      <w:r>
        <w:rPr>
          <w:sz w:val="28"/>
          <w:szCs w:val="28"/>
        </w:rPr>
        <w:t>его</w:t>
      </w:r>
      <w:r w:rsidRPr="00FA15F9">
        <w:rPr>
          <w:sz w:val="28"/>
          <w:szCs w:val="28"/>
        </w:rPr>
        <w:t xml:space="preserve"> </w:t>
      </w:r>
      <w:r>
        <w:rPr>
          <w:sz w:val="28"/>
          <w:szCs w:val="28"/>
        </w:rPr>
        <w:t>153</w:t>
      </w:r>
      <w:r w:rsidRPr="00EC242B">
        <w:rPr>
          <w:sz w:val="28"/>
          <w:szCs w:val="28"/>
        </w:rPr>
        <w:t xml:space="preserve"> использованных библиографических источник</w:t>
      </w:r>
      <w:r>
        <w:rPr>
          <w:sz w:val="28"/>
          <w:szCs w:val="28"/>
        </w:rPr>
        <w:t>а</w:t>
      </w:r>
      <w:r w:rsidRPr="00EC242B">
        <w:rPr>
          <w:sz w:val="28"/>
          <w:szCs w:val="28"/>
        </w:rPr>
        <w:t xml:space="preserve">, в том числе </w:t>
      </w:r>
      <w:r>
        <w:rPr>
          <w:sz w:val="28"/>
          <w:szCs w:val="28"/>
        </w:rPr>
        <w:t>- 43</w:t>
      </w:r>
      <w:r w:rsidRPr="00EC242B">
        <w:rPr>
          <w:sz w:val="28"/>
          <w:szCs w:val="28"/>
        </w:rPr>
        <w:t xml:space="preserve"> на иностранном языке</w:t>
      </w:r>
      <w:r>
        <w:rPr>
          <w:sz w:val="28"/>
          <w:szCs w:val="28"/>
        </w:rPr>
        <w:t>; приложений</w:t>
      </w:r>
      <w:r w:rsidRPr="00EC242B">
        <w:rPr>
          <w:sz w:val="28"/>
          <w:szCs w:val="28"/>
        </w:rPr>
        <w:t>.</w:t>
      </w:r>
    </w:p>
    <w:p w:rsidR="00254EE8" w:rsidRPr="00751AE5" w:rsidRDefault="00254EE8" w:rsidP="004106FA">
      <w:pPr>
        <w:ind w:firstLine="720"/>
        <w:jc w:val="both"/>
        <w:rPr>
          <w:color w:val="FF0000"/>
          <w:sz w:val="28"/>
          <w:szCs w:val="28"/>
        </w:rPr>
      </w:pPr>
      <w:r w:rsidRPr="0084643D">
        <w:rPr>
          <w:sz w:val="28"/>
          <w:szCs w:val="28"/>
        </w:rPr>
        <w:t xml:space="preserve">Диссертация изложена на </w:t>
      </w:r>
      <w:r>
        <w:rPr>
          <w:sz w:val="28"/>
          <w:szCs w:val="28"/>
        </w:rPr>
        <w:t>14</w:t>
      </w:r>
      <w:r w:rsidRPr="00A0768E">
        <w:rPr>
          <w:sz w:val="28"/>
          <w:szCs w:val="28"/>
        </w:rPr>
        <w:t>6</w:t>
      </w:r>
      <w:r w:rsidRPr="0084643D">
        <w:rPr>
          <w:sz w:val="28"/>
          <w:szCs w:val="28"/>
        </w:rPr>
        <w:t xml:space="preserve"> страницах текста, выполненного на компьютере шрифтом </w:t>
      </w:r>
      <w:r w:rsidRPr="0084643D">
        <w:rPr>
          <w:sz w:val="28"/>
          <w:szCs w:val="28"/>
          <w:lang w:val="en-US"/>
        </w:rPr>
        <w:t>Times</w:t>
      </w:r>
      <w:r w:rsidRPr="0084643D">
        <w:rPr>
          <w:sz w:val="28"/>
          <w:szCs w:val="28"/>
        </w:rPr>
        <w:t xml:space="preserve"> </w:t>
      </w:r>
      <w:r w:rsidRPr="0084643D">
        <w:rPr>
          <w:sz w:val="28"/>
          <w:szCs w:val="28"/>
          <w:lang w:val="en-US"/>
        </w:rPr>
        <w:t>New</w:t>
      </w:r>
      <w:r w:rsidRPr="0084643D">
        <w:rPr>
          <w:sz w:val="28"/>
          <w:szCs w:val="28"/>
        </w:rPr>
        <w:t xml:space="preserve"> </w:t>
      </w:r>
      <w:r w:rsidRPr="0084643D">
        <w:rPr>
          <w:sz w:val="28"/>
          <w:szCs w:val="28"/>
          <w:lang w:val="en-US"/>
        </w:rPr>
        <w:t>Roman</w:t>
      </w:r>
      <w:r w:rsidRPr="0084643D">
        <w:rPr>
          <w:sz w:val="28"/>
          <w:szCs w:val="28"/>
        </w:rPr>
        <w:t xml:space="preserve"> 14 через 1,5 межстрочных интервала, иллюстрирована </w:t>
      </w:r>
      <w:r w:rsidRPr="00A0768E">
        <w:rPr>
          <w:sz w:val="28"/>
          <w:szCs w:val="28"/>
        </w:rPr>
        <w:t>19 таблицами и 28 рисунками.</w:t>
      </w:r>
    </w:p>
    <w:p w:rsidR="00254EE8" w:rsidRPr="000479CA" w:rsidRDefault="00254EE8" w:rsidP="004106FA">
      <w:pPr>
        <w:jc w:val="both"/>
        <w:rPr>
          <w:b/>
          <w:sz w:val="28"/>
          <w:szCs w:val="28"/>
        </w:rPr>
      </w:pPr>
    </w:p>
    <w:p w:rsidR="00254EE8" w:rsidRDefault="00254EE8" w:rsidP="004106FA">
      <w:pPr>
        <w:ind w:left="12"/>
        <w:jc w:val="center"/>
        <w:rPr>
          <w:b/>
          <w:sz w:val="28"/>
          <w:szCs w:val="28"/>
        </w:rPr>
      </w:pPr>
      <w:r>
        <w:rPr>
          <w:b/>
          <w:sz w:val="28"/>
          <w:szCs w:val="28"/>
        </w:rPr>
        <w:t xml:space="preserve">ОСНОВНОЕ СОДЕРЖАНИЕ </w:t>
      </w:r>
      <w:r w:rsidR="007735B7">
        <w:rPr>
          <w:b/>
          <w:sz w:val="28"/>
          <w:szCs w:val="28"/>
        </w:rPr>
        <w:t>ДИССЕРТАЦИИ</w:t>
      </w:r>
    </w:p>
    <w:p w:rsidR="00254EE8" w:rsidRPr="00AA494C" w:rsidRDefault="00254EE8" w:rsidP="004106FA">
      <w:pPr>
        <w:ind w:left="12"/>
        <w:rPr>
          <w:sz w:val="20"/>
          <w:szCs w:val="20"/>
        </w:rPr>
      </w:pPr>
    </w:p>
    <w:p w:rsidR="00254EE8" w:rsidRDefault="00254EE8" w:rsidP="004106FA">
      <w:pPr>
        <w:ind w:firstLine="708"/>
        <w:jc w:val="both"/>
        <w:rPr>
          <w:sz w:val="28"/>
          <w:szCs w:val="28"/>
        </w:rPr>
      </w:pPr>
      <w:r w:rsidRPr="001E22C6">
        <w:rPr>
          <w:b/>
          <w:sz w:val="28"/>
          <w:szCs w:val="28"/>
        </w:rPr>
        <w:t>В первой главе «</w:t>
      </w:r>
      <w:r>
        <w:rPr>
          <w:b/>
          <w:sz w:val="28"/>
          <w:szCs w:val="28"/>
        </w:rPr>
        <w:t>С</w:t>
      </w:r>
      <w:r w:rsidRPr="0047644D">
        <w:rPr>
          <w:b/>
          <w:sz w:val="28"/>
          <w:szCs w:val="28"/>
        </w:rPr>
        <w:t>овременные аспекты лечения хронических воспалительных заболеваний тканей пародонта»</w:t>
      </w:r>
      <w:r w:rsidRPr="001E22C6">
        <w:rPr>
          <w:sz w:val="28"/>
          <w:szCs w:val="28"/>
        </w:rPr>
        <w:t xml:space="preserve"> представлен обзор литературных данных</w:t>
      </w:r>
      <w:r>
        <w:rPr>
          <w:sz w:val="28"/>
          <w:szCs w:val="28"/>
        </w:rPr>
        <w:t xml:space="preserve"> о современных представлениях </w:t>
      </w:r>
      <w:r w:rsidRPr="0060130E">
        <w:rPr>
          <w:sz w:val="28"/>
          <w:szCs w:val="28"/>
        </w:rPr>
        <w:t>об</w:t>
      </w:r>
      <w:r>
        <w:rPr>
          <w:sz w:val="28"/>
          <w:szCs w:val="28"/>
        </w:rPr>
        <w:t xml:space="preserve"> э</w:t>
      </w:r>
      <w:r w:rsidRPr="0047644D">
        <w:rPr>
          <w:sz w:val="28"/>
          <w:szCs w:val="28"/>
        </w:rPr>
        <w:t>тиологи</w:t>
      </w:r>
      <w:r>
        <w:rPr>
          <w:sz w:val="28"/>
          <w:szCs w:val="28"/>
        </w:rPr>
        <w:t>и</w:t>
      </w:r>
      <w:r w:rsidRPr="0047644D">
        <w:rPr>
          <w:sz w:val="28"/>
          <w:szCs w:val="28"/>
        </w:rPr>
        <w:t xml:space="preserve"> и патогенез</w:t>
      </w:r>
      <w:r>
        <w:rPr>
          <w:sz w:val="28"/>
          <w:szCs w:val="28"/>
        </w:rPr>
        <w:t>у</w:t>
      </w:r>
      <w:r w:rsidRPr="0047644D">
        <w:rPr>
          <w:sz w:val="28"/>
          <w:szCs w:val="28"/>
        </w:rPr>
        <w:t xml:space="preserve"> воспалительных заболеваний</w:t>
      </w:r>
      <w:r>
        <w:rPr>
          <w:sz w:val="28"/>
          <w:szCs w:val="28"/>
        </w:rPr>
        <w:t xml:space="preserve"> тканей</w:t>
      </w:r>
      <w:r w:rsidRPr="0047644D">
        <w:rPr>
          <w:sz w:val="28"/>
          <w:szCs w:val="28"/>
        </w:rPr>
        <w:t xml:space="preserve"> пародонта</w:t>
      </w:r>
      <w:r>
        <w:rPr>
          <w:sz w:val="28"/>
          <w:szCs w:val="28"/>
        </w:rPr>
        <w:t xml:space="preserve">. Дана характеристика современных диагностических методов исследования хронических заболеваний пародонта, а также подробно описаны возможные </w:t>
      </w:r>
      <w:r w:rsidRPr="0047644D">
        <w:rPr>
          <w:sz w:val="28"/>
          <w:szCs w:val="28"/>
        </w:rPr>
        <w:t>клинические проявления хроническ</w:t>
      </w:r>
      <w:r>
        <w:rPr>
          <w:sz w:val="28"/>
          <w:szCs w:val="28"/>
        </w:rPr>
        <w:t>их форм</w:t>
      </w:r>
      <w:r w:rsidRPr="0047644D">
        <w:rPr>
          <w:sz w:val="28"/>
          <w:szCs w:val="28"/>
        </w:rPr>
        <w:t xml:space="preserve"> пародонтит</w:t>
      </w:r>
      <w:r>
        <w:rPr>
          <w:sz w:val="28"/>
          <w:szCs w:val="28"/>
        </w:rPr>
        <w:t>ов. Описаны современные принципы и методы л</w:t>
      </w:r>
      <w:r w:rsidRPr="0047644D">
        <w:rPr>
          <w:sz w:val="28"/>
          <w:szCs w:val="28"/>
        </w:rPr>
        <w:t>ечени</w:t>
      </w:r>
      <w:r>
        <w:rPr>
          <w:sz w:val="28"/>
          <w:szCs w:val="28"/>
        </w:rPr>
        <w:t>я</w:t>
      </w:r>
      <w:r w:rsidRPr="0047644D">
        <w:rPr>
          <w:sz w:val="28"/>
          <w:szCs w:val="28"/>
        </w:rPr>
        <w:t xml:space="preserve"> хронического генерализованного пародонтита</w:t>
      </w:r>
      <w:r>
        <w:rPr>
          <w:sz w:val="28"/>
          <w:szCs w:val="28"/>
        </w:rPr>
        <w:t xml:space="preserve"> с указанием методов лечения с не достаточно доказанной клинической эффективностью.</w:t>
      </w:r>
    </w:p>
    <w:p w:rsidR="00254EE8" w:rsidRDefault="00254EE8" w:rsidP="004106FA">
      <w:pPr>
        <w:ind w:firstLine="708"/>
        <w:jc w:val="both"/>
        <w:rPr>
          <w:sz w:val="28"/>
          <w:szCs w:val="28"/>
        </w:rPr>
      </w:pPr>
      <w:r>
        <w:rPr>
          <w:sz w:val="28"/>
          <w:szCs w:val="28"/>
        </w:rPr>
        <w:t xml:space="preserve">Для объективной оценки эффективности лечения </w:t>
      </w:r>
      <w:r w:rsidRPr="0047644D">
        <w:rPr>
          <w:sz w:val="28"/>
          <w:szCs w:val="28"/>
        </w:rPr>
        <w:t>хронического генерализованного пародонтита</w:t>
      </w:r>
      <w:r>
        <w:rPr>
          <w:sz w:val="28"/>
          <w:szCs w:val="28"/>
        </w:rPr>
        <w:t xml:space="preserve"> различными методами в стоматологии необходимо проведение ф</w:t>
      </w:r>
      <w:r w:rsidRPr="0047644D">
        <w:rPr>
          <w:sz w:val="28"/>
          <w:szCs w:val="28"/>
        </w:rPr>
        <w:t>армакоэкономическ</w:t>
      </w:r>
      <w:r>
        <w:rPr>
          <w:sz w:val="28"/>
          <w:szCs w:val="28"/>
        </w:rPr>
        <w:t>их исследований, результативность которых уже показана для других областей медицины.</w:t>
      </w:r>
    </w:p>
    <w:p w:rsidR="00254EE8" w:rsidRDefault="00254EE8" w:rsidP="007735B7">
      <w:pPr>
        <w:ind w:firstLine="708"/>
        <w:contextualSpacing/>
        <w:jc w:val="both"/>
        <w:rPr>
          <w:sz w:val="28"/>
          <w:szCs w:val="28"/>
        </w:rPr>
      </w:pPr>
      <w:r w:rsidRPr="001E22C6">
        <w:rPr>
          <w:sz w:val="28"/>
          <w:szCs w:val="28"/>
        </w:rPr>
        <w:t>Таким образом, несмотря на многообразие литературных данных, целый ряд вопросов, касающихся</w:t>
      </w:r>
      <w:r>
        <w:rPr>
          <w:sz w:val="28"/>
          <w:szCs w:val="28"/>
        </w:rPr>
        <w:t xml:space="preserve"> распространенности заболеваний пародонта, уровня знаний стоматологами современных принципов лечения хронических воспалительных заболеваний пародонта, а также клинической и экономической</w:t>
      </w:r>
      <w:r w:rsidRPr="001E22C6">
        <w:rPr>
          <w:sz w:val="28"/>
          <w:szCs w:val="28"/>
        </w:rPr>
        <w:t xml:space="preserve"> эффективности лечения </w:t>
      </w:r>
      <w:r>
        <w:rPr>
          <w:sz w:val="28"/>
          <w:szCs w:val="28"/>
        </w:rPr>
        <w:t xml:space="preserve">хронического генерализованного пародонтита является </w:t>
      </w:r>
      <w:r w:rsidRPr="001E22C6">
        <w:rPr>
          <w:sz w:val="28"/>
          <w:szCs w:val="28"/>
        </w:rPr>
        <w:t>задачей требующей научно-обоснованных решений</w:t>
      </w:r>
      <w:r>
        <w:rPr>
          <w:sz w:val="28"/>
          <w:szCs w:val="28"/>
        </w:rPr>
        <w:t xml:space="preserve">. </w:t>
      </w:r>
    </w:p>
    <w:p w:rsidR="00254EE8" w:rsidRDefault="00254EE8" w:rsidP="007735B7">
      <w:pPr>
        <w:ind w:firstLine="680"/>
        <w:contextualSpacing/>
        <w:jc w:val="both"/>
        <w:rPr>
          <w:sz w:val="28"/>
          <w:szCs w:val="28"/>
        </w:rPr>
      </w:pPr>
      <w:r>
        <w:rPr>
          <w:b/>
          <w:sz w:val="28"/>
          <w:szCs w:val="28"/>
        </w:rPr>
        <w:t xml:space="preserve">Во второй главе «Материал и методы исследования» </w:t>
      </w:r>
      <w:r>
        <w:rPr>
          <w:sz w:val="28"/>
          <w:szCs w:val="28"/>
        </w:rPr>
        <w:t>представлена характеристика объектов исследования, приведено описание методов исследования.</w:t>
      </w:r>
    </w:p>
    <w:p w:rsidR="00254EE8" w:rsidRDefault="00254EE8" w:rsidP="007735B7">
      <w:pPr>
        <w:ind w:firstLine="708"/>
        <w:contextualSpacing/>
        <w:jc w:val="both"/>
        <w:rPr>
          <w:sz w:val="28"/>
          <w:szCs w:val="28"/>
        </w:rPr>
      </w:pPr>
      <w:r w:rsidRPr="00AA494C">
        <w:rPr>
          <w:sz w:val="28"/>
          <w:szCs w:val="28"/>
        </w:rPr>
        <w:t>Исследование проводилось в 4 этапа с 2007 по 201</w:t>
      </w:r>
      <w:r>
        <w:rPr>
          <w:sz w:val="28"/>
          <w:szCs w:val="28"/>
        </w:rPr>
        <w:t>2</w:t>
      </w:r>
      <w:r w:rsidRPr="00AA494C">
        <w:rPr>
          <w:sz w:val="28"/>
          <w:szCs w:val="28"/>
        </w:rPr>
        <w:t xml:space="preserve"> год.</w:t>
      </w:r>
    </w:p>
    <w:p w:rsidR="00254EE8" w:rsidRPr="009E1162" w:rsidRDefault="00254EE8" w:rsidP="004106FA">
      <w:pPr>
        <w:ind w:firstLine="708"/>
        <w:jc w:val="both"/>
        <w:rPr>
          <w:sz w:val="28"/>
          <w:szCs w:val="28"/>
        </w:rPr>
      </w:pPr>
      <w:r w:rsidRPr="00AA494C">
        <w:rPr>
          <w:sz w:val="28"/>
          <w:szCs w:val="28"/>
        </w:rPr>
        <w:t xml:space="preserve">1 этап – </w:t>
      </w:r>
      <w:r>
        <w:rPr>
          <w:sz w:val="28"/>
          <w:szCs w:val="28"/>
        </w:rPr>
        <w:t xml:space="preserve">ретроспективное </w:t>
      </w:r>
      <w:r w:rsidRPr="00AA494C">
        <w:rPr>
          <w:sz w:val="28"/>
          <w:szCs w:val="28"/>
        </w:rPr>
        <w:t xml:space="preserve">изучение </w:t>
      </w:r>
      <w:r>
        <w:rPr>
          <w:sz w:val="28"/>
          <w:szCs w:val="28"/>
        </w:rPr>
        <w:t xml:space="preserve">и анализ </w:t>
      </w:r>
      <w:r w:rsidRPr="00AA494C">
        <w:rPr>
          <w:sz w:val="28"/>
          <w:szCs w:val="28"/>
        </w:rPr>
        <w:t xml:space="preserve">стоматологической заболеваемости и показателей деятельности </w:t>
      </w:r>
      <w:r w:rsidRPr="00735253">
        <w:rPr>
          <w:color w:val="262626"/>
          <w:sz w:val="28"/>
          <w:szCs w:val="28"/>
        </w:rPr>
        <w:t>государственных и частных</w:t>
      </w:r>
      <w:r>
        <w:rPr>
          <w:sz w:val="28"/>
          <w:szCs w:val="28"/>
        </w:rPr>
        <w:t xml:space="preserve"> стоматологических </w:t>
      </w:r>
      <w:r w:rsidRPr="00AA494C">
        <w:rPr>
          <w:sz w:val="28"/>
          <w:szCs w:val="28"/>
        </w:rPr>
        <w:t>клиник г. Бишкек за период с 2003 по 2007 годы. Объект</w:t>
      </w:r>
      <w:r>
        <w:rPr>
          <w:sz w:val="28"/>
          <w:szCs w:val="28"/>
        </w:rPr>
        <w:t xml:space="preserve">ом исследования являлись данные отчетных форм </w:t>
      </w:r>
      <w:r w:rsidRPr="00AA494C">
        <w:rPr>
          <w:sz w:val="28"/>
          <w:szCs w:val="28"/>
        </w:rPr>
        <w:t>«Отчет</w:t>
      </w:r>
      <w:r>
        <w:rPr>
          <w:sz w:val="28"/>
          <w:szCs w:val="28"/>
        </w:rPr>
        <w:t>а</w:t>
      </w:r>
      <w:r w:rsidRPr="00AA494C">
        <w:rPr>
          <w:sz w:val="28"/>
          <w:szCs w:val="28"/>
        </w:rPr>
        <w:t xml:space="preserve"> ЦСМ» </w:t>
      </w:r>
      <w:r>
        <w:rPr>
          <w:sz w:val="28"/>
          <w:szCs w:val="28"/>
        </w:rPr>
        <w:t>(</w:t>
      </w:r>
      <w:r w:rsidRPr="00AA494C">
        <w:rPr>
          <w:sz w:val="28"/>
          <w:szCs w:val="28"/>
        </w:rPr>
        <w:t>форм</w:t>
      </w:r>
      <w:r>
        <w:rPr>
          <w:sz w:val="28"/>
          <w:szCs w:val="28"/>
        </w:rPr>
        <w:t>а</w:t>
      </w:r>
      <w:r w:rsidRPr="00AA494C">
        <w:rPr>
          <w:sz w:val="28"/>
          <w:szCs w:val="28"/>
        </w:rPr>
        <w:t xml:space="preserve"> №12</w:t>
      </w:r>
      <w:r>
        <w:rPr>
          <w:sz w:val="28"/>
          <w:szCs w:val="28"/>
        </w:rPr>
        <w:t>),</w:t>
      </w:r>
      <w:r w:rsidRPr="00AA494C">
        <w:rPr>
          <w:sz w:val="28"/>
          <w:szCs w:val="28"/>
        </w:rPr>
        <w:t xml:space="preserve"> подаваемые в </w:t>
      </w:r>
      <w:r>
        <w:rPr>
          <w:sz w:val="28"/>
          <w:szCs w:val="28"/>
        </w:rPr>
        <w:t>Республиканский медико-информационный центр Министерства здравоохранения Кыргызской Республики.</w:t>
      </w:r>
      <w:r>
        <w:rPr>
          <w:sz w:val="28"/>
          <w:szCs w:val="28"/>
        </w:rPr>
        <w:tab/>
        <w:t xml:space="preserve"> </w:t>
      </w:r>
    </w:p>
    <w:p w:rsidR="00254EE8" w:rsidRDefault="00254EE8" w:rsidP="004106FA">
      <w:pPr>
        <w:pStyle w:val="a4"/>
        <w:spacing w:after="0"/>
        <w:ind w:firstLine="708"/>
        <w:jc w:val="both"/>
        <w:rPr>
          <w:sz w:val="28"/>
          <w:szCs w:val="28"/>
        </w:rPr>
      </w:pPr>
      <w:r w:rsidRPr="00A552CD">
        <w:rPr>
          <w:sz w:val="28"/>
          <w:szCs w:val="28"/>
        </w:rPr>
        <w:t>2 этап</w:t>
      </w:r>
      <w:r>
        <w:rPr>
          <w:sz w:val="28"/>
          <w:szCs w:val="28"/>
        </w:rPr>
        <w:t xml:space="preserve"> – </w:t>
      </w:r>
      <w:r w:rsidRPr="00A552CD">
        <w:rPr>
          <w:sz w:val="28"/>
          <w:szCs w:val="28"/>
        </w:rPr>
        <w:t>изучени</w:t>
      </w:r>
      <w:r>
        <w:rPr>
          <w:sz w:val="28"/>
          <w:szCs w:val="28"/>
        </w:rPr>
        <w:t>е</w:t>
      </w:r>
      <w:r w:rsidRPr="00A552CD">
        <w:rPr>
          <w:sz w:val="28"/>
          <w:szCs w:val="28"/>
        </w:rPr>
        <w:t xml:space="preserve"> практики использования врачами-стоматологами диагностических и лечебных методов</w:t>
      </w:r>
      <w:r>
        <w:rPr>
          <w:sz w:val="28"/>
          <w:szCs w:val="28"/>
        </w:rPr>
        <w:t xml:space="preserve"> лечения хронических воспалительных заболеваний тканей пародонта.</w:t>
      </w:r>
      <w:r w:rsidRPr="00A552CD">
        <w:rPr>
          <w:sz w:val="28"/>
          <w:szCs w:val="28"/>
        </w:rPr>
        <w:t xml:space="preserve"> </w:t>
      </w:r>
      <w:r>
        <w:rPr>
          <w:sz w:val="28"/>
          <w:szCs w:val="28"/>
        </w:rPr>
        <w:t>Объект</w:t>
      </w:r>
      <w:r w:rsidRPr="00A552CD">
        <w:rPr>
          <w:sz w:val="28"/>
          <w:szCs w:val="28"/>
        </w:rPr>
        <w:t xml:space="preserve"> исследования</w:t>
      </w:r>
      <w:r>
        <w:rPr>
          <w:sz w:val="28"/>
          <w:szCs w:val="28"/>
        </w:rPr>
        <w:t xml:space="preserve"> – данные анкет врачей-стоматологов государственных и частных стоматологических клиник г. Бишкек.   Количество респондентов - 87 </w:t>
      </w:r>
      <w:r w:rsidRPr="00A552CD">
        <w:rPr>
          <w:sz w:val="28"/>
          <w:szCs w:val="28"/>
        </w:rPr>
        <w:t>стоматолог</w:t>
      </w:r>
      <w:r>
        <w:rPr>
          <w:sz w:val="28"/>
          <w:szCs w:val="28"/>
        </w:rPr>
        <w:t>ов. Дизайн исследования – проспективное фармакоэпидемиологическое.</w:t>
      </w:r>
    </w:p>
    <w:p w:rsidR="00254EE8" w:rsidRPr="00807B56" w:rsidRDefault="00254EE8" w:rsidP="004106FA">
      <w:pPr>
        <w:pStyle w:val="a4"/>
        <w:spacing w:after="0"/>
        <w:ind w:firstLine="708"/>
        <w:jc w:val="both"/>
        <w:rPr>
          <w:sz w:val="28"/>
          <w:szCs w:val="28"/>
        </w:rPr>
      </w:pPr>
      <w:r w:rsidRPr="007A762A">
        <w:rPr>
          <w:sz w:val="28"/>
          <w:szCs w:val="28"/>
        </w:rPr>
        <w:t>3 этап –</w:t>
      </w:r>
      <w:r>
        <w:rPr>
          <w:sz w:val="28"/>
          <w:szCs w:val="28"/>
        </w:rPr>
        <w:t xml:space="preserve">  </w:t>
      </w:r>
      <w:r w:rsidRPr="007A762A">
        <w:rPr>
          <w:sz w:val="28"/>
          <w:szCs w:val="28"/>
        </w:rPr>
        <w:t xml:space="preserve">изучение </w:t>
      </w:r>
      <w:r>
        <w:rPr>
          <w:sz w:val="28"/>
          <w:szCs w:val="28"/>
        </w:rPr>
        <w:t>сравнительной</w:t>
      </w:r>
      <w:r w:rsidRPr="007A762A">
        <w:rPr>
          <w:sz w:val="28"/>
          <w:szCs w:val="28"/>
        </w:rPr>
        <w:t xml:space="preserve"> клинической эффективности различных методов лечения хронического генерализованного пародонтита средней степени тяжести. </w:t>
      </w:r>
      <w:r>
        <w:rPr>
          <w:sz w:val="28"/>
          <w:szCs w:val="28"/>
        </w:rPr>
        <w:t xml:space="preserve">Дизайн – проспективное, сравнительное, когортное исследования. </w:t>
      </w:r>
      <w:r w:rsidRPr="007A762A">
        <w:rPr>
          <w:sz w:val="28"/>
          <w:szCs w:val="28"/>
        </w:rPr>
        <w:t>Объект исследования</w:t>
      </w:r>
      <w:r>
        <w:rPr>
          <w:sz w:val="28"/>
          <w:szCs w:val="28"/>
        </w:rPr>
        <w:t xml:space="preserve"> –</w:t>
      </w:r>
      <w:r w:rsidRPr="007A762A">
        <w:rPr>
          <w:sz w:val="28"/>
          <w:szCs w:val="28"/>
        </w:rPr>
        <w:t xml:space="preserve"> </w:t>
      </w:r>
      <w:r w:rsidRPr="00B739AE">
        <w:rPr>
          <w:sz w:val="28"/>
          <w:szCs w:val="28"/>
        </w:rPr>
        <w:t>168</w:t>
      </w:r>
      <w:r>
        <w:rPr>
          <w:sz w:val="28"/>
          <w:szCs w:val="28"/>
        </w:rPr>
        <w:t xml:space="preserve"> </w:t>
      </w:r>
      <w:r w:rsidRPr="007A762A">
        <w:rPr>
          <w:sz w:val="28"/>
          <w:szCs w:val="28"/>
        </w:rPr>
        <w:t>пациент</w:t>
      </w:r>
      <w:r>
        <w:rPr>
          <w:sz w:val="28"/>
          <w:szCs w:val="28"/>
        </w:rPr>
        <w:t>ов</w:t>
      </w:r>
      <w:r w:rsidRPr="007A762A">
        <w:rPr>
          <w:sz w:val="28"/>
          <w:szCs w:val="28"/>
        </w:rPr>
        <w:t xml:space="preserve"> с установлен</w:t>
      </w:r>
      <w:r>
        <w:rPr>
          <w:sz w:val="28"/>
          <w:szCs w:val="28"/>
        </w:rPr>
        <w:t>ным</w:t>
      </w:r>
      <w:r w:rsidRPr="007A762A">
        <w:rPr>
          <w:sz w:val="28"/>
          <w:szCs w:val="28"/>
        </w:rPr>
        <w:t xml:space="preserve"> </w:t>
      </w:r>
      <w:r w:rsidRPr="007A762A">
        <w:rPr>
          <w:sz w:val="28"/>
          <w:szCs w:val="28"/>
        </w:rPr>
        <w:lastRenderedPageBreak/>
        <w:t>диагноз</w:t>
      </w:r>
      <w:r>
        <w:rPr>
          <w:sz w:val="28"/>
          <w:szCs w:val="28"/>
        </w:rPr>
        <w:t>ом</w:t>
      </w:r>
      <w:r w:rsidRPr="007A762A">
        <w:rPr>
          <w:sz w:val="28"/>
          <w:szCs w:val="28"/>
        </w:rPr>
        <w:t xml:space="preserve">: </w:t>
      </w:r>
      <w:r>
        <w:rPr>
          <w:sz w:val="28"/>
          <w:szCs w:val="28"/>
        </w:rPr>
        <w:t>«Х</w:t>
      </w:r>
      <w:r w:rsidRPr="007A762A">
        <w:rPr>
          <w:sz w:val="28"/>
          <w:szCs w:val="28"/>
        </w:rPr>
        <w:t>ронический генерализованный пародонтит средней степени тяжести</w:t>
      </w:r>
      <w:r>
        <w:rPr>
          <w:sz w:val="28"/>
          <w:szCs w:val="28"/>
        </w:rPr>
        <w:t xml:space="preserve">», в возрасте 25-45 лет, из них </w:t>
      </w:r>
      <w:r w:rsidRPr="00B739AE">
        <w:rPr>
          <w:sz w:val="28"/>
          <w:szCs w:val="28"/>
        </w:rPr>
        <w:t>39,1% мужского и 61,9% женского пола.</w:t>
      </w:r>
      <w:r w:rsidRPr="007A762A">
        <w:rPr>
          <w:sz w:val="28"/>
          <w:szCs w:val="28"/>
        </w:rPr>
        <w:t xml:space="preserve"> </w:t>
      </w:r>
      <w:r w:rsidRPr="00100975">
        <w:rPr>
          <w:sz w:val="28"/>
          <w:szCs w:val="28"/>
        </w:rPr>
        <w:t>Продолжительность исследования – 2009</w:t>
      </w:r>
      <w:r>
        <w:rPr>
          <w:sz w:val="28"/>
          <w:szCs w:val="28"/>
        </w:rPr>
        <w:t>-2012гг.</w:t>
      </w:r>
    </w:p>
    <w:p w:rsidR="00254EE8" w:rsidRPr="007A762A" w:rsidRDefault="00254EE8" w:rsidP="004106FA">
      <w:pPr>
        <w:ind w:firstLine="708"/>
        <w:jc w:val="both"/>
        <w:rPr>
          <w:sz w:val="28"/>
          <w:szCs w:val="28"/>
        </w:rPr>
      </w:pPr>
      <w:r w:rsidRPr="007A762A">
        <w:rPr>
          <w:sz w:val="28"/>
          <w:szCs w:val="28"/>
        </w:rPr>
        <w:t xml:space="preserve">Всем 168 пациентам </w:t>
      </w:r>
      <w:r w:rsidRPr="00B739AE">
        <w:rPr>
          <w:color w:val="000000"/>
          <w:sz w:val="28"/>
          <w:szCs w:val="28"/>
        </w:rPr>
        <w:t xml:space="preserve">проводили следующие мероприятия: внешний осмотр лица, стандартное обследование полости рта по схеме: осмотр преддверия полости рта, </w:t>
      </w:r>
      <w:r w:rsidRPr="007A762A">
        <w:rPr>
          <w:sz w:val="28"/>
          <w:szCs w:val="28"/>
        </w:rPr>
        <w:t xml:space="preserve">зубных рядов, определение вида прикуса и типа </w:t>
      </w:r>
      <w:r>
        <w:rPr>
          <w:sz w:val="28"/>
          <w:szCs w:val="28"/>
        </w:rPr>
        <w:t xml:space="preserve">жевания, исследование тканей, индексная оценка состояния тканей пародонта и </w:t>
      </w:r>
      <w:r>
        <w:rPr>
          <w:color w:val="000000"/>
          <w:sz w:val="28"/>
          <w:szCs w:val="28"/>
        </w:rPr>
        <w:t xml:space="preserve">гигиены полости рта. Использованы </w:t>
      </w:r>
      <w:r>
        <w:rPr>
          <w:sz w:val="28"/>
          <w:szCs w:val="28"/>
        </w:rPr>
        <w:t xml:space="preserve">гигиенические индексы. </w:t>
      </w:r>
      <w:r>
        <w:rPr>
          <w:color w:val="000000"/>
          <w:sz w:val="28"/>
          <w:szCs w:val="28"/>
        </w:rPr>
        <w:t>Грина-</w:t>
      </w:r>
      <w:r w:rsidRPr="007A762A">
        <w:rPr>
          <w:color w:val="000000"/>
          <w:sz w:val="28"/>
          <w:szCs w:val="28"/>
        </w:rPr>
        <w:t>Вермил</w:t>
      </w:r>
      <w:r>
        <w:rPr>
          <w:color w:val="000000"/>
          <w:sz w:val="28"/>
          <w:szCs w:val="28"/>
        </w:rPr>
        <w:t>ли</w:t>
      </w:r>
      <w:r w:rsidRPr="007A762A">
        <w:rPr>
          <w:color w:val="000000"/>
          <w:sz w:val="28"/>
          <w:szCs w:val="28"/>
        </w:rPr>
        <w:t xml:space="preserve">она, </w:t>
      </w:r>
      <w:r w:rsidRPr="007A762A">
        <w:rPr>
          <w:snapToGrid w:val="0"/>
          <w:sz w:val="28"/>
          <w:szCs w:val="28"/>
        </w:rPr>
        <w:t>пародонтальный</w:t>
      </w:r>
      <w:r>
        <w:rPr>
          <w:snapToGrid w:val="0"/>
          <w:sz w:val="28"/>
          <w:szCs w:val="28"/>
        </w:rPr>
        <w:t xml:space="preserve"> индекс</w:t>
      </w:r>
      <w:r w:rsidRPr="007A762A">
        <w:rPr>
          <w:snapToGrid w:val="0"/>
          <w:sz w:val="28"/>
          <w:szCs w:val="28"/>
        </w:rPr>
        <w:t xml:space="preserve"> Рассела</w:t>
      </w:r>
      <w:r>
        <w:rPr>
          <w:snapToGrid w:val="0"/>
          <w:sz w:val="28"/>
          <w:szCs w:val="28"/>
        </w:rPr>
        <w:t>,</w:t>
      </w:r>
      <w:r w:rsidRPr="007A762A">
        <w:rPr>
          <w:snapToGrid w:val="0"/>
          <w:sz w:val="28"/>
          <w:szCs w:val="28"/>
        </w:rPr>
        <w:t xml:space="preserve"> </w:t>
      </w:r>
      <w:r w:rsidRPr="007A762A">
        <w:rPr>
          <w:sz w:val="28"/>
          <w:szCs w:val="28"/>
        </w:rPr>
        <w:t>индекс Мюлемана</w:t>
      </w:r>
      <w:r>
        <w:rPr>
          <w:sz w:val="28"/>
          <w:szCs w:val="28"/>
        </w:rPr>
        <w:t xml:space="preserve"> для определения </w:t>
      </w:r>
      <w:r w:rsidRPr="007A762A">
        <w:rPr>
          <w:sz w:val="28"/>
          <w:szCs w:val="28"/>
        </w:rPr>
        <w:t xml:space="preserve"> кровоточивости зубодесневой борозды</w:t>
      </w:r>
      <w:r>
        <w:rPr>
          <w:sz w:val="28"/>
          <w:szCs w:val="28"/>
        </w:rPr>
        <w:t xml:space="preserve">. Кроме того, </w:t>
      </w:r>
      <w:r w:rsidRPr="007A762A">
        <w:rPr>
          <w:sz w:val="28"/>
          <w:szCs w:val="28"/>
        </w:rPr>
        <w:t>всем проводили прицельную и/или панорамную рентгенографию челюстей</w:t>
      </w:r>
      <w:r>
        <w:rPr>
          <w:sz w:val="28"/>
          <w:szCs w:val="28"/>
        </w:rPr>
        <w:t xml:space="preserve"> до начала лечения и через 12 месяцев</w:t>
      </w:r>
      <w:r w:rsidRPr="007A762A">
        <w:rPr>
          <w:sz w:val="28"/>
          <w:szCs w:val="28"/>
        </w:rPr>
        <w:t>.</w:t>
      </w:r>
      <w:r>
        <w:rPr>
          <w:sz w:val="28"/>
          <w:szCs w:val="28"/>
        </w:rPr>
        <w:t xml:space="preserve"> </w:t>
      </w:r>
      <w:r w:rsidRPr="007A762A">
        <w:rPr>
          <w:sz w:val="28"/>
          <w:szCs w:val="28"/>
        </w:rPr>
        <w:t xml:space="preserve">Дополнительно для оценки эффективности проводимой антибактериальной терапии </w:t>
      </w:r>
      <w:r>
        <w:rPr>
          <w:sz w:val="28"/>
          <w:szCs w:val="28"/>
        </w:rPr>
        <w:t xml:space="preserve">изучено влияние оцениваемых методов терапии на  </w:t>
      </w:r>
      <w:r w:rsidRPr="007A762A">
        <w:rPr>
          <w:sz w:val="28"/>
          <w:szCs w:val="28"/>
        </w:rPr>
        <w:t>микробиологически</w:t>
      </w:r>
      <w:r>
        <w:rPr>
          <w:sz w:val="28"/>
          <w:szCs w:val="28"/>
        </w:rPr>
        <w:t>й пейзаж пародонтальных карманов.</w:t>
      </w:r>
    </w:p>
    <w:p w:rsidR="00254EE8" w:rsidRPr="007A762A" w:rsidRDefault="00254EE8" w:rsidP="007735B7">
      <w:pPr>
        <w:ind w:firstLine="708"/>
        <w:contextualSpacing/>
        <w:jc w:val="both"/>
        <w:rPr>
          <w:sz w:val="28"/>
          <w:szCs w:val="28"/>
        </w:rPr>
      </w:pPr>
      <w:r>
        <w:rPr>
          <w:sz w:val="28"/>
          <w:szCs w:val="28"/>
        </w:rPr>
        <w:t xml:space="preserve">С этой целью проводили забор содержимого патологического кармана для микробиологического анализа. </w:t>
      </w:r>
      <w:r w:rsidRPr="007A762A">
        <w:rPr>
          <w:sz w:val="28"/>
          <w:szCs w:val="28"/>
        </w:rPr>
        <w:t>Данные обследования заносились в индивидуальную регистрационную карту.</w:t>
      </w:r>
    </w:p>
    <w:p w:rsidR="00254EE8" w:rsidRPr="007A762A" w:rsidRDefault="00254EE8" w:rsidP="007735B7">
      <w:pPr>
        <w:ind w:firstLine="708"/>
        <w:contextualSpacing/>
        <w:jc w:val="both"/>
        <w:rPr>
          <w:sz w:val="28"/>
          <w:szCs w:val="28"/>
        </w:rPr>
      </w:pPr>
      <w:r w:rsidRPr="00100975">
        <w:rPr>
          <w:sz w:val="28"/>
          <w:szCs w:val="28"/>
        </w:rPr>
        <w:t>Описанная процедура осмотра и медицинских вмешательств проводилась при первом приеме, через 1, 6 и 12 месяцев. За исключением микробиологического (через 1 месяц) и рентгенологического анализа (через 12 месяцев).</w:t>
      </w:r>
      <w:r w:rsidR="007735B7">
        <w:rPr>
          <w:sz w:val="28"/>
          <w:szCs w:val="28"/>
        </w:rPr>
        <w:t xml:space="preserve"> </w:t>
      </w:r>
      <w:r>
        <w:rPr>
          <w:sz w:val="28"/>
          <w:szCs w:val="28"/>
        </w:rPr>
        <w:t xml:space="preserve">Привлеченные к исследованию пациенты </w:t>
      </w:r>
      <w:r w:rsidRPr="007A762A">
        <w:rPr>
          <w:sz w:val="28"/>
          <w:szCs w:val="28"/>
        </w:rPr>
        <w:t>были разделены на 4 группы, в зависимости от метода консервативного лечения.</w:t>
      </w:r>
    </w:p>
    <w:p w:rsidR="00254EE8" w:rsidRDefault="00254EE8" w:rsidP="007735B7">
      <w:pPr>
        <w:ind w:firstLine="708"/>
        <w:contextualSpacing/>
        <w:jc w:val="both"/>
        <w:rPr>
          <w:sz w:val="28"/>
          <w:szCs w:val="28"/>
        </w:rPr>
      </w:pPr>
      <w:r w:rsidRPr="007A762A">
        <w:rPr>
          <w:sz w:val="28"/>
          <w:szCs w:val="28"/>
        </w:rPr>
        <w:t>1 групп</w:t>
      </w:r>
      <w:r>
        <w:rPr>
          <w:sz w:val="28"/>
          <w:szCs w:val="28"/>
        </w:rPr>
        <w:t xml:space="preserve">а, включала </w:t>
      </w:r>
      <w:r w:rsidRPr="0039397B">
        <w:rPr>
          <w:color w:val="000000"/>
          <w:sz w:val="28"/>
          <w:szCs w:val="28"/>
        </w:rPr>
        <w:t>43</w:t>
      </w:r>
      <w:r w:rsidRPr="007A762A">
        <w:rPr>
          <w:sz w:val="28"/>
          <w:szCs w:val="28"/>
        </w:rPr>
        <w:t xml:space="preserve"> пациента, </w:t>
      </w:r>
      <w:r>
        <w:rPr>
          <w:sz w:val="28"/>
          <w:szCs w:val="28"/>
        </w:rPr>
        <w:t xml:space="preserve">пролеченных </w:t>
      </w:r>
      <w:r w:rsidRPr="007A762A">
        <w:rPr>
          <w:sz w:val="28"/>
          <w:szCs w:val="28"/>
        </w:rPr>
        <w:t>традиционн</w:t>
      </w:r>
      <w:r>
        <w:rPr>
          <w:sz w:val="28"/>
          <w:szCs w:val="28"/>
        </w:rPr>
        <w:t>ой</w:t>
      </w:r>
      <w:r w:rsidRPr="007A762A">
        <w:rPr>
          <w:sz w:val="28"/>
          <w:szCs w:val="28"/>
        </w:rPr>
        <w:t xml:space="preserve"> антимикробн</w:t>
      </w:r>
      <w:r>
        <w:rPr>
          <w:sz w:val="28"/>
          <w:szCs w:val="28"/>
        </w:rPr>
        <w:t>ой</w:t>
      </w:r>
      <w:r w:rsidRPr="007A762A">
        <w:rPr>
          <w:sz w:val="28"/>
          <w:szCs w:val="28"/>
        </w:rPr>
        <w:t xml:space="preserve"> терапи</w:t>
      </w:r>
      <w:r>
        <w:rPr>
          <w:sz w:val="28"/>
          <w:szCs w:val="28"/>
        </w:rPr>
        <w:t>й -</w:t>
      </w:r>
      <w:r w:rsidRPr="007A762A">
        <w:rPr>
          <w:sz w:val="28"/>
          <w:szCs w:val="28"/>
        </w:rPr>
        <w:t xml:space="preserve"> </w:t>
      </w:r>
      <w:r>
        <w:rPr>
          <w:sz w:val="28"/>
          <w:szCs w:val="28"/>
        </w:rPr>
        <w:t xml:space="preserve">оральные </w:t>
      </w:r>
      <w:r w:rsidRPr="007A762A">
        <w:rPr>
          <w:sz w:val="28"/>
          <w:szCs w:val="28"/>
        </w:rPr>
        <w:t>ванночк</w:t>
      </w:r>
      <w:r>
        <w:rPr>
          <w:sz w:val="28"/>
          <w:szCs w:val="28"/>
        </w:rPr>
        <w:t xml:space="preserve">и </w:t>
      </w:r>
      <w:r w:rsidRPr="007A762A">
        <w:rPr>
          <w:sz w:val="28"/>
          <w:szCs w:val="28"/>
        </w:rPr>
        <w:t xml:space="preserve">0,2% водным раствором хлоргексидина биглюконата, </w:t>
      </w:r>
      <w:r>
        <w:rPr>
          <w:sz w:val="28"/>
          <w:szCs w:val="28"/>
        </w:rPr>
        <w:t xml:space="preserve">в течение 1 минуты, 3 раза в день, </w:t>
      </w:r>
      <w:r w:rsidRPr="007A762A">
        <w:rPr>
          <w:sz w:val="28"/>
          <w:szCs w:val="28"/>
        </w:rPr>
        <w:t>в течени</w:t>
      </w:r>
      <w:r>
        <w:rPr>
          <w:sz w:val="28"/>
          <w:szCs w:val="28"/>
        </w:rPr>
        <w:t>е</w:t>
      </w:r>
      <w:r w:rsidRPr="007A762A">
        <w:rPr>
          <w:sz w:val="28"/>
          <w:szCs w:val="28"/>
        </w:rPr>
        <w:t xml:space="preserve"> 10 дней.</w:t>
      </w:r>
      <w:r>
        <w:rPr>
          <w:sz w:val="28"/>
          <w:szCs w:val="28"/>
        </w:rPr>
        <w:t xml:space="preserve"> </w:t>
      </w:r>
    </w:p>
    <w:p w:rsidR="00254EE8" w:rsidRPr="007A762A" w:rsidRDefault="00254EE8" w:rsidP="007735B7">
      <w:pPr>
        <w:ind w:firstLine="709"/>
        <w:contextualSpacing/>
        <w:jc w:val="both"/>
        <w:rPr>
          <w:sz w:val="28"/>
          <w:szCs w:val="28"/>
        </w:rPr>
      </w:pPr>
      <w:r w:rsidRPr="007A762A">
        <w:rPr>
          <w:sz w:val="28"/>
          <w:szCs w:val="28"/>
        </w:rPr>
        <w:t>2 групп</w:t>
      </w:r>
      <w:r>
        <w:rPr>
          <w:sz w:val="28"/>
          <w:szCs w:val="28"/>
        </w:rPr>
        <w:t xml:space="preserve">а, состояла из </w:t>
      </w:r>
      <w:r w:rsidRPr="0039397B">
        <w:rPr>
          <w:sz w:val="28"/>
          <w:szCs w:val="28"/>
        </w:rPr>
        <w:t>41</w:t>
      </w:r>
      <w:r w:rsidRPr="007A762A">
        <w:rPr>
          <w:sz w:val="28"/>
          <w:szCs w:val="28"/>
        </w:rPr>
        <w:t xml:space="preserve"> пациент</w:t>
      </w:r>
      <w:r>
        <w:rPr>
          <w:sz w:val="28"/>
          <w:szCs w:val="28"/>
        </w:rPr>
        <w:t>а и</w:t>
      </w:r>
      <w:r w:rsidRPr="007A762A">
        <w:rPr>
          <w:sz w:val="28"/>
          <w:szCs w:val="28"/>
        </w:rPr>
        <w:t xml:space="preserve"> </w:t>
      </w:r>
      <w:r>
        <w:rPr>
          <w:sz w:val="28"/>
          <w:szCs w:val="28"/>
        </w:rPr>
        <w:t>получала н</w:t>
      </w:r>
      <w:r w:rsidRPr="007A762A">
        <w:rPr>
          <w:sz w:val="28"/>
          <w:szCs w:val="28"/>
        </w:rPr>
        <w:t>аряду с традиционной антимикробной терапией хлоргексидином, антимикробн</w:t>
      </w:r>
      <w:r>
        <w:rPr>
          <w:sz w:val="28"/>
          <w:szCs w:val="28"/>
        </w:rPr>
        <w:t>ую</w:t>
      </w:r>
      <w:r w:rsidRPr="007A762A">
        <w:rPr>
          <w:sz w:val="28"/>
          <w:szCs w:val="28"/>
        </w:rPr>
        <w:t xml:space="preserve"> терапи</w:t>
      </w:r>
      <w:r>
        <w:rPr>
          <w:sz w:val="28"/>
          <w:szCs w:val="28"/>
        </w:rPr>
        <w:t>ю</w:t>
      </w:r>
      <w:r w:rsidRPr="007A762A">
        <w:rPr>
          <w:sz w:val="28"/>
          <w:szCs w:val="28"/>
        </w:rPr>
        <w:t xml:space="preserve"> ровамицином в дозе 3 млн. ME, 3 раза в </w:t>
      </w:r>
      <w:r>
        <w:rPr>
          <w:sz w:val="28"/>
          <w:szCs w:val="28"/>
        </w:rPr>
        <w:t>сутки</w:t>
      </w:r>
      <w:r w:rsidRPr="007A762A">
        <w:rPr>
          <w:sz w:val="28"/>
          <w:szCs w:val="28"/>
        </w:rPr>
        <w:t>, в течени</w:t>
      </w:r>
      <w:r>
        <w:rPr>
          <w:sz w:val="28"/>
          <w:szCs w:val="28"/>
        </w:rPr>
        <w:t>е</w:t>
      </w:r>
      <w:r w:rsidRPr="007A762A">
        <w:rPr>
          <w:sz w:val="28"/>
          <w:szCs w:val="28"/>
        </w:rPr>
        <w:t xml:space="preserve"> 10 дней.</w:t>
      </w:r>
    </w:p>
    <w:p w:rsidR="00254EE8" w:rsidRPr="003B29BE" w:rsidRDefault="00254EE8" w:rsidP="007735B7">
      <w:pPr>
        <w:shd w:val="clear" w:color="auto" w:fill="FFFFFF"/>
        <w:ind w:firstLine="709"/>
        <w:contextualSpacing/>
        <w:jc w:val="both"/>
        <w:rPr>
          <w:color w:val="000000"/>
          <w:sz w:val="28"/>
          <w:szCs w:val="28"/>
        </w:rPr>
      </w:pPr>
      <w:r>
        <w:rPr>
          <w:sz w:val="28"/>
          <w:szCs w:val="28"/>
        </w:rPr>
        <w:t xml:space="preserve">3 </w:t>
      </w:r>
      <w:r w:rsidRPr="007A762A">
        <w:rPr>
          <w:sz w:val="28"/>
          <w:szCs w:val="28"/>
        </w:rPr>
        <w:t xml:space="preserve">группу составляли </w:t>
      </w:r>
      <w:r w:rsidRPr="0039397B">
        <w:rPr>
          <w:sz w:val="28"/>
          <w:szCs w:val="28"/>
        </w:rPr>
        <w:t>45</w:t>
      </w:r>
      <w:r w:rsidRPr="007A762A">
        <w:rPr>
          <w:sz w:val="28"/>
          <w:szCs w:val="28"/>
        </w:rPr>
        <w:t xml:space="preserve"> пациентов, которым проводилась традиционная антимикробная терапия 0,2% водным раствором хлоргексидина биглюконата</w:t>
      </w:r>
      <w:r>
        <w:rPr>
          <w:sz w:val="28"/>
          <w:szCs w:val="28"/>
        </w:rPr>
        <w:t xml:space="preserve"> в сочетании с</w:t>
      </w:r>
      <w:r w:rsidRPr="007A762A">
        <w:rPr>
          <w:sz w:val="28"/>
          <w:szCs w:val="28"/>
        </w:rPr>
        <w:t xml:space="preserve"> лазеротерапи</w:t>
      </w:r>
      <w:r>
        <w:rPr>
          <w:sz w:val="28"/>
          <w:szCs w:val="28"/>
        </w:rPr>
        <w:t xml:space="preserve">ей. </w:t>
      </w:r>
      <w:r w:rsidRPr="007A762A">
        <w:rPr>
          <w:sz w:val="28"/>
          <w:szCs w:val="28"/>
        </w:rPr>
        <w:t xml:space="preserve">Обработка лазером пародонтальных карманов проводилась </w:t>
      </w:r>
      <w:r>
        <w:rPr>
          <w:sz w:val="28"/>
          <w:szCs w:val="28"/>
        </w:rPr>
        <w:t xml:space="preserve">в период острого </w:t>
      </w:r>
      <w:r w:rsidRPr="00E90DB4">
        <w:rPr>
          <w:sz w:val="28"/>
          <w:szCs w:val="28"/>
        </w:rPr>
        <w:t xml:space="preserve">процесса в </w:t>
      </w:r>
      <w:r w:rsidRPr="00E90DB4">
        <w:rPr>
          <w:sz w:val="28"/>
          <w:szCs w:val="28"/>
          <w:lang w:val="en-US"/>
        </w:rPr>
        <w:t>I</w:t>
      </w:r>
      <w:r w:rsidRPr="00D76BCA">
        <w:rPr>
          <w:sz w:val="28"/>
          <w:szCs w:val="28"/>
        </w:rPr>
        <w:t xml:space="preserve"> </w:t>
      </w:r>
      <w:r>
        <w:rPr>
          <w:sz w:val="28"/>
          <w:szCs w:val="28"/>
        </w:rPr>
        <w:t xml:space="preserve">режиме, в период купирования воспалительного процесса во </w:t>
      </w:r>
      <w:r>
        <w:rPr>
          <w:sz w:val="28"/>
          <w:szCs w:val="28"/>
          <w:lang w:val="en-US"/>
        </w:rPr>
        <w:t>II</w:t>
      </w:r>
      <w:r w:rsidRPr="007A762A">
        <w:rPr>
          <w:sz w:val="28"/>
          <w:szCs w:val="28"/>
        </w:rPr>
        <w:t xml:space="preserve"> режиме</w:t>
      </w:r>
      <w:r>
        <w:rPr>
          <w:sz w:val="28"/>
          <w:szCs w:val="28"/>
        </w:rPr>
        <w:t xml:space="preserve">. </w:t>
      </w:r>
      <w:r>
        <w:rPr>
          <w:sz w:val="28"/>
          <w:szCs w:val="28"/>
          <w:lang w:val="en-IE"/>
        </w:rPr>
        <w:t>I</w:t>
      </w:r>
      <w:r>
        <w:rPr>
          <w:sz w:val="28"/>
          <w:szCs w:val="28"/>
        </w:rPr>
        <w:t xml:space="preserve"> режим 80-100 Гц, </w:t>
      </w:r>
      <w:r>
        <w:rPr>
          <w:sz w:val="28"/>
          <w:szCs w:val="28"/>
          <w:lang w:val="en-IE"/>
        </w:rPr>
        <w:t>II</w:t>
      </w:r>
      <w:r w:rsidRPr="00E90DB4">
        <w:rPr>
          <w:sz w:val="28"/>
          <w:szCs w:val="28"/>
        </w:rPr>
        <w:t xml:space="preserve"> </w:t>
      </w:r>
      <w:r>
        <w:rPr>
          <w:sz w:val="28"/>
          <w:szCs w:val="28"/>
        </w:rPr>
        <w:t>режим 2000-3000 Гц.</w:t>
      </w:r>
      <w:r w:rsidRPr="00E90DB4">
        <w:rPr>
          <w:sz w:val="28"/>
          <w:szCs w:val="28"/>
        </w:rPr>
        <w:t xml:space="preserve"> </w:t>
      </w:r>
      <w:r w:rsidRPr="00E90DB4">
        <w:rPr>
          <w:rStyle w:val="af"/>
          <w:b w:val="0"/>
          <w:color w:val="000000"/>
          <w:sz w:val="28"/>
          <w:szCs w:val="28"/>
        </w:rPr>
        <w:t xml:space="preserve">Глубина проникновения лазерного излучения в мягкие ткани до 7 см, в костные ткани до 3 см. </w:t>
      </w:r>
      <w:r>
        <w:rPr>
          <w:color w:val="000000"/>
          <w:sz w:val="28"/>
          <w:szCs w:val="28"/>
        </w:rPr>
        <w:t>Длина волны излучения -</w:t>
      </w:r>
      <w:r w:rsidRPr="00E90DB4">
        <w:rPr>
          <w:color w:val="000000"/>
          <w:sz w:val="28"/>
          <w:szCs w:val="28"/>
        </w:rPr>
        <w:t xml:space="preserve"> 0,85 мкм</w:t>
      </w:r>
      <w:r>
        <w:rPr>
          <w:color w:val="000000"/>
          <w:sz w:val="28"/>
          <w:szCs w:val="28"/>
        </w:rPr>
        <w:t>.</w:t>
      </w:r>
      <w:r w:rsidRPr="007A762A">
        <w:rPr>
          <w:sz w:val="28"/>
          <w:szCs w:val="28"/>
        </w:rPr>
        <w:t xml:space="preserve"> </w:t>
      </w:r>
      <w:r>
        <w:rPr>
          <w:sz w:val="28"/>
          <w:szCs w:val="28"/>
        </w:rPr>
        <w:t xml:space="preserve">Обработку </w:t>
      </w:r>
      <w:r w:rsidRPr="007A762A">
        <w:rPr>
          <w:sz w:val="28"/>
          <w:szCs w:val="28"/>
        </w:rPr>
        <w:t>лазером проводил</w:t>
      </w:r>
      <w:r>
        <w:rPr>
          <w:sz w:val="28"/>
          <w:szCs w:val="28"/>
        </w:rPr>
        <w:t xml:space="preserve">и каждый квадрант, </w:t>
      </w:r>
      <w:r w:rsidRPr="007A762A">
        <w:rPr>
          <w:sz w:val="28"/>
          <w:szCs w:val="28"/>
        </w:rPr>
        <w:t>один раз в день в течени</w:t>
      </w:r>
      <w:r>
        <w:rPr>
          <w:sz w:val="28"/>
          <w:szCs w:val="28"/>
        </w:rPr>
        <w:t>е</w:t>
      </w:r>
      <w:r w:rsidRPr="007A762A">
        <w:rPr>
          <w:sz w:val="28"/>
          <w:szCs w:val="28"/>
        </w:rPr>
        <w:t xml:space="preserve"> </w:t>
      </w:r>
      <w:r>
        <w:rPr>
          <w:sz w:val="28"/>
          <w:szCs w:val="28"/>
        </w:rPr>
        <w:t xml:space="preserve">2 минут, продолжительность курса лечения – 10 дней. </w:t>
      </w:r>
    </w:p>
    <w:p w:rsidR="00254EE8" w:rsidRPr="007A762A" w:rsidRDefault="00254EE8" w:rsidP="004106FA">
      <w:pPr>
        <w:ind w:firstLine="708"/>
        <w:jc w:val="both"/>
        <w:rPr>
          <w:sz w:val="28"/>
          <w:szCs w:val="28"/>
        </w:rPr>
      </w:pPr>
      <w:r w:rsidRPr="007A762A">
        <w:rPr>
          <w:sz w:val="28"/>
          <w:szCs w:val="28"/>
        </w:rPr>
        <w:t>4 групп</w:t>
      </w:r>
      <w:r>
        <w:rPr>
          <w:sz w:val="28"/>
          <w:szCs w:val="28"/>
        </w:rPr>
        <w:t xml:space="preserve">а включала </w:t>
      </w:r>
      <w:r w:rsidRPr="0039397B">
        <w:rPr>
          <w:sz w:val="28"/>
          <w:szCs w:val="28"/>
        </w:rPr>
        <w:t>39</w:t>
      </w:r>
      <w:r w:rsidRPr="007A762A">
        <w:rPr>
          <w:sz w:val="28"/>
          <w:szCs w:val="28"/>
        </w:rPr>
        <w:t xml:space="preserve"> пациентов, которым в течени</w:t>
      </w:r>
      <w:r>
        <w:rPr>
          <w:sz w:val="28"/>
          <w:szCs w:val="28"/>
        </w:rPr>
        <w:t>е</w:t>
      </w:r>
      <w:r w:rsidRPr="007A762A">
        <w:rPr>
          <w:sz w:val="28"/>
          <w:szCs w:val="28"/>
        </w:rPr>
        <w:t xml:space="preserve"> 10 дней проводил</w:t>
      </w:r>
      <w:r>
        <w:rPr>
          <w:sz w:val="28"/>
          <w:szCs w:val="28"/>
        </w:rPr>
        <w:t>ась</w:t>
      </w:r>
      <w:r w:rsidRPr="007A762A">
        <w:rPr>
          <w:sz w:val="28"/>
          <w:szCs w:val="28"/>
        </w:rPr>
        <w:t xml:space="preserve"> комбинированн</w:t>
      </w:r>
      <w:r>
        <w:rPr>
          <w:sz w:val="28"/>
          <w:szCs w:val="28"/>
        </w:rPr>
        <w:t xml:space="preserve">ая терапия </w:t>
      </w:r>
      <w:r w:rsidRPr="007A762A">
        <w:rPr>
          <w:sz w:val="28"/>
          <w:szCs w:val="28"/>
        </w:rPr>
        <w:t>– лазеротерапия</w:t>
      </w:r>
      <w:r>
        <w:rPr>
          <w:sz w:val="28"/>
          <w:szCs w:val="28"/>
        </w:rPr>
        <w:t xml:space="preserve"> + </w:t>
      </w:r>
      <w:r w:rsidRPr="007A762A">
        <w:rPr>
          <w:sz w:val="28"/>
          <w:szCs w:val="28"/>
        </w:rPr>
        <w:t>антимикробная терапия ровамицином</w:t>
      </w:r>
      <w:r>
        <w:rPr>
          <w:sz w:val="28"/>
          <w:szCs w:val="28"/>
        </w:rPr>
        <w:t xml:space="preserve"> </w:t>
      </w:r>
      <w:r w:rsidRPr="007A762A">
        <w:rPr>
          <w:sz w:val="28"/>
          <w:szCs w:val="28"/>
        </w:rPr>
        <w:t xml:space="preserve">дозе 3 млн. ME, 3 раза в </w:t>
      </w:r>
      <w:r>
        <w:rPr>
          <w:sz w:val="28"/>
          <w:szCs w:val="28"/>
        </w:rPr>
        <w:t>сутки, курс лечения 10 дней.</w:t>
      </w:r>
    </w:p>
    <w:p w:rsidR="00254EE8" w:rsidRDefault="00254EE8" w:rsidP="004106FA">
      <w:pPr>
        <w:ind w:firstLine="708"/>
        <w:jc w:val="both"/>
        <w:rPr>
          <w:sz w:val="28"/>
          <w:szCs w:val="28"/>
        </w:rPr>
      </w:pPr>
      <w:r>
        <w:rPr>
          <w:sz w:val="28"/>
          <w:szCs w:val="28"/>
        </w:rPr>
        <w:lastRenderedPageBreak/>
        <w:t xml:space="preserve">Оценка сравнительной клинической эффективности лечения проводилась </w:t>
      </w:r>
      <w:r w:rsidRPr="007A762A">
        <w:rPr>
          <w:sz w:val="28"/>
          <w:szCs w:val="28"/>
        </w:rPr>
        <w:t>до лечения,</w:t>
      </w:r>
      <w:r>
        <w:rPr>
          <w:sz w:val="28"/>
          <w:szCs w:val="28"/>
        </w:rPr>
        <w:t xml:space="preserve"> через 1 месяц для оценки краткосрочного, через 6 месяцев для оценки среднесрочного и через 12 месяцев – долгосрочного эффекта. </w:t>
      </w:r>
    </w:p>
    <w:p w:rsidR="00254EE8" w:rsidRPr="003B29BE" w:rsidRDefault="00254EE8" w:rsidP="004106FA">
      <w:pPr>
        <w:ind w:firstLine="708"/>
        <w:jc w:val="both"/>
        <w:rPr>
          <w:color w:val="000000"/>
          <w:sz w:val="28"/>
          <w:szCs w:val="28"/>
        </w:rPr>
      </w:pPr>
      <w:r w:rsidRPr="003B29BE">
        <w:rPr>
          <w:color w:val="000000"/>
          <w:sz w:val="28"/>
          <w:szCs w:val="28"/>
        </w:rPr>
        <w:t>Обследование проводили по общепринятой схеме.</w:t>
      </w:r>
    </w:p>
    <w:p w:rsidR="00254EE8" w:rsidRPr="00A552CD" w:rsidRDefault="00254EE8" w:rsidP="004106FA">
      <w:pPr>
        <w:ind w:firstLine="708"/>
        <w:jc w:val="both"/>
        <w:rPr>
          <w:sz w:val="28"/>
          <w:szCs w:val="28"/>
        </w:rPr>
      </w:pPr>
      <w:r w:rsidRPr="00A552CD">
        <w:rPr>
          <w:sz w:val="28"/>
          <w:szCs w:val="28"/>
        </w:rPr>
        <w:t xml:space="preserve">4 этап – фармакоэкономический анализ </w:t>
      </w:r>
      <w:r>
        <w:rPr>
          <w:sz w:val="28"/>
          <w:szCs w:val="28"/>
        </w:rPr>
        <w:t xml:space="preserve">сравниваемых </w:t>
      </w:r>
      <w:r w:rsidRPr="00A552CD">
        <w:rPr>
          <w:sz w:val="28"/>
          <w:szCs w:val="28"/>
        </w:rPr>
        <w:t>методов лечения хронического генерализованного пародонтита средней степени тяжести проводился для выявления привлекательных схем лечения, с точки зрения их «стоимости-эффективности» и анализа «минимизации затрат». Фармакоэкономическое исследование проводили после завершения исследования клинической эффективности в 4-х группах пациентов</w:t>
      </w:r>
      <w:r>
        <w:rPr>
          <w:sz w:val="28"/>
          <w:szCs w:val="28"/>
        </w:rPr>
        <w:t xml:space="preserve"> на всех сроках мониторирования</w:t>
      </w:r>
      <w:r w:rsidRPr="00A552CD">
        <w:rPr>
          <w:sz w:val="28"/>
          <w:szCs w:val="28"/>
        </w:rPr>
        <w:t>.</w:t>
      </w:r>
    </w:p>
    <w:p w:rsidR="00254EE8" w:rsidRPr="00A552CD" w:rsidRDefault="00254EE8" w:rsidP="004106FA">
      <w:pPr>
        <w:pStyle w:val="af5"/>
        <w:spacing w:after="0"/>
        <w:ind w:firstLine="708"/>
        <w:jc w:val="both"/>
        <w:rPr>
          <w:sz w:val="28"/>
          <w:szCs w:val="28"/>
        </w:rPr>
      </w:pPr>
      <w:r w:rsidRPr="00A552CD">
        <w:rPr>
          <w:sz w:val="28"/>
          <w:szCs w:val="28"/>
        </w:rPr>
        <w:t>Данные о стоимости лечения пациентов сравниваемых групп заносились в «Регистрационную карту стоимости лечения пациентов включенных в исследование» Для проведения экономических исследований использовались следующие методы: анализ стоимости заболевания, анализ «затраты – эффективность» и анализ «минимизации затрат».</w:t>
      </w:r>
    </w:p>
    <w:p w:rsidR="00254EE8" w:rsidRPr="00A552CD" w:rsidRDefault="00254EE8" w:rsidP="004106FA">
      <w:pPr>
        <w:ind w:firstLine="720"/>
        <w:jc w:val="both"/>
        <w:rPr>
          <w:sz w:val="28"/>
          <w:szCs w:val="28"/>
        </w:rPr>
      </w:pPr>
      <w:r w:rsidRPr="00A552CD">
        <w:rPr>
          <w:sz w:val="28"/>
          <w:szCs w:val="28"/>
        </w:rPr>
        <w:t>Статистическ</w:t>
      </w:r>
      <w:r>
        <w:rPr>
          <w:sz w:val="28"/>
          <w:szCs w:val="28"/>
        </w:rPr>
        <w:t>ую</w:t>
      </w:r>
      <w:r w:rsidRPr="00A552CD">
        <w:rPr>
          <w:sz w:val="28"/>
          <w:szCs w:val="28"/>
        </w:rPr>
        <w:t xml:space="preserve"> обработк</w:t>
      </w:r>
      <w:r>
        <w:rPr>
          <w:sz w:val="28"/>
          <w:szCs w:val="28"/>
        </w:rPr>
        <w:t>у</w:t>
      </w:r>
      <w:r w:rsidRPr="00A552CD">
        <w:rPr>
          <w:sz w:val="28"/>
          <w:szCs w:val="28"/>
        </w:rPr>
        <w:t xml:space="preserve"> полученных данных</w:t>
      </w:r>
      <w:r>
        <w:rPr>
          <w:sz w:val="28"/>
          <w:szCs w:val="28"/>
        </w:rPr>
        <w:t xml:space="preserve"> проводили </w:t>
      </w:r>
      <w:r w:rsidRPr="00A552CD">
        <w:rPr>
          <w:sz w:val="28"/>
          <w:szCs w:val="28"/>
        </w:rPr>
        <w:t>общепринятыми статистическими методами при помощи персонального компьютера с использованием программ</w:t>
      </w:r>
      <w:r>
        <w:rPr>
          <w:sz w:val="28"/>
          <w:szCs w:val="28"/>
        </w:rPr>
        <w:t>ы для статистической обработки данных</w:t>
      </w:r>
      <w:r w:rsidRPr="00A552CD">
        <w:rPr>
          <w:sz w:val="28"/>
          <w:szCs w:val="28"/>
        </w:rPr>
        <w:t xml:space="preserve"> SPSS 13 и табличного редактора Excel</w:t>
      </w:r>
      <w:r w:rsidRPr="00A552CD">
        <w:rPr>
          <w:sz w:val="28"/>
          <w:szCs w:val="28"/>
        </w:rPr>
        <w:sym w:font="Symbol" w:char="00A2"/>
      </w:r>
      <w:r w:rsidRPr="00A552CD">
        <w:rPr>
          <w:sz w:val="28"/>
          <w:szCs w:val="28"/>
        </w:rPr>
        <w:t xml:space="preserve"> для Windows </w:t>
      </w:r>
      <w:r w:rsidRPr="00A552CD">
        <w:rPr>
          <w:sz w:val="28"/>
          <w:szCs w:val="28"/>
          <w:lang w:val="en-US"/>
        </w:rPr>
        <w:t>XP</w:t>
      </w:r>
      <w:r w:rsidRPr="00A552CD">
        <w:rPr>
          <w:sz w:val="28"/>
          <w:szCs w:val="28"/>
        </w:rPr>
        <w:t xml:space="preserve">. </w:t>
      </w:r>
    </w:p>
    <w:p w:rsidR="00254EE8" w:rsidRPr="00483374" w:rsidRDefault="00254EE8" w:rsidP="007735B7">
      <w:pPr>
        <w:ind w:firstLine="720"/>
        <w:contextualSpacing/>
        <w:jc w:val="both"/>
        <w:rPr>
          <w:sz w:val="28"/>
          <w:szCs w:val="28"/>
        </w:rPr>
      </w:pPr>
      <w:r w:rsidRPr="00A552CD">
        <w:rPr>
          <w:sz w:val="28"/>
          <w:szCs w:val="28"/>
        </w:rPr>
        <w:t xml:space="preserve">Для средних и относительных величин высчитывали среднюю ошибку показателя – </w:t>
      </w:r>
      <w:r w:rsidRPr="00A552CD">
        <w:rPr>
          <w:sz w:val="28"/>
          <w:szCs w:val="28"/>
          <w:lang w:val="en-US"/>
        </w:rPr>
        <w:t>m</w:t>
      </w:r>
      <w:r w:rsidRPr="00A552CD">
        <w:rPr>
          <w:sz w:val="28"/>
          <w:szCs w:val="28"/>
        </w:rPr>
        <w:t xml:space="preserve">. Статистическую значимость (достоверность) различий по количественным переменным определяли путем вычисления </w:t>
      </w:r>
      <w:r w:rsidRPr="00A552CD">
        <w:rPr>
          <w:sz w:val="28"/>
          <w:szCs w:val="28"/>
          <w:lang w:val="en-US"/>
        </w:rPr>
        <w:t>t</w:t>
      </w:r>
      <w:r w:rsidRPr="00A552CD">
        <w:rPr>
          <w:sz w:val="28"/>
          <w:szCs w:val="28"/>
        </w:rPr>
        <w:t xml:space="preserve"> – критерия Стьюдента. Изменения считались статистически значимыми (достоверными) при </w:t>
      </w:r>
      <w:r w:rsidRPr="00A552CD">
        <w:rPr>
          <w:sz w:val="28"/>
          <w:szCs w:val="28"/>
          <w:lang w:val="en-US"/>
        </w:rPr>
        <w:t>p</w:t>
      </w:r>
      <w:r w:rsidRPr="00A552CD">
        <w:rPr>
          <w:sz w:val="28"/>
          <w:szCs w:val="28"/>
        </w:rPr>
        <w:t>&lt;0,05.</w:t>
      </w:r>
    </w:p>
    <w:p w:rsidR="00105149" w:rsidRPr="00577791" w:rsidRDefault="00254EE8" w:rsidP="007735B7">
      <w:pPr>
        <w:ind w:firstLine="709"/>
        <w:contextualSpacing/>
        <w:jc w:val="both"/>
        <w:rPr>
          <w:b/>
          <w:sz w:val="28"/>
          <w:szCs w:val="28"/>
        </w:rPr>
      </w:pPr>
      <w:r w:rsidRPr="00EE1348">
        <w:rPr>
          <w:b/>
          <w:sz w:val="28"/>
          <w:szCs w:val="28"/>
        </w:rPr>
        <w:t>Третья глава «Оценка заболеваемости и практики лечения воспалительных заболеваний пародонта»</w:t>
      </w:r>
      <w:r w:rsidR="00920F6F">
        <w:rPr>
          <w:b/>
          <w:sz w:val="28"/>
          <w:szCs w:val="28"/>
        </w:rPr>
        <w:t>.</w:t>
      </w:r>
    </w:p>
    <w:p w:rsidR="00254EE8" w:rsidRPr="00EE1348" w:rsidRDefault="00254EE8" w:rsidP="007735B7">
      <w:pPr>
        <w:ind w:firstLine="709"/>
        <w:contextualSpacing/>
        <w:jc w:val="both"/>
        <w:rPr>
          <w:sz w:val="28"/>
          <w:szCs w:val="28"/>
        </w:rPr>
      </w:pPr>
      <w:r w:rsidRPr="00EE1348">
        <w:rPr>
          <w:sz w:val="28"/>
          <w:szCs w:val="28"/>
        </w:rPr>
        <w:t>Как показал проведенный ретроспективный эпидемиологический анализ, за период с 2003 по 2007 годы в поликлиники г. Бишкек за стоматологической помощью обратилось 2316361 пациентов различных возрастных групп. Установлено, что обращаемость, за стоматологической помощью</w:t>
      </w:r>
      <w:r>
        <w:rPr>
          <w:sz w:val="28"/>
          <w:szCs w:val="28"/>
        </w:rPr>
        <w:t>,</w:t>
      </w:r>
      <w:r w:rsidRPr="00EE1348">
        <w:rPr>
          <w:sz w:val="28"/>
          <w:szCs w:val="28"/>
        </w:rPr>
        <w:t xml:space="preserve"> начиная с</w:t>
      </w:r>
      <w:r>
        <w:rPr>
          <w:sz w:val="28"/>
          <w:szCs w:val="28"/>
        </w:rPr>
        <w:t xml:space="preserve"> 2004 г</w:t>
      </w:r>
      <w:r w:rsidRPr="00EE1348">
        <w:rPr>
          <w:sz w:val="28"/>
          <w:szCs w:val="28"/>
        </w:rPr>
        <w:t>.</w:t>
      </w:r>
      <w:r>
        <w:rPr>
          <w:sz w:val="28"/>
          <w:szCs w:val="28"/>
        </w:rPr>
        <w:t>,</w:t>
      </w:r>
      <w:r w:rsidRPr="00EE1348">
        <w:rPr>
          <w:sz w:val="28"/>
          <w:szCs w:val="28"/>
        </w:rPr>
        <w:t xml:space="preserve"> снижалась и в 2007 году снизилась на 52262 посещения в сравнении с 2003 годом. Также, было выявлено, что основная доля пациентов стоматологических кабинетов ЦСМ и стоматологических поликлиник приходилась на взрослое население.</w:t>
      </w:r>
    </w:p>
    <w:p w:rsidR="00254EE8" w:rsidRPr="00302FD7" w:rsidRDefault="00254EE8" w:rsidP="007735B7">
      <w:pPr>
        <w:pStyle w:val="a4"/>
        <w:spacing w:after="0"/>
        <w:ind w:firstLine="708"/>
        <w:contextualSpacing/>
        <w:jc w:val="both"/>
        <w:rPr>
          <w:sz w:val="28"/>
          <w:szCs w:val="28"/>
        </w:rPr>
      </w:pPr>
      <w:r w:rsidRPr="00302FD7">
        <w:rPr>
          <w:sz w:val="28"/>
          <w:szCs w:val="28"/>
        </w:rPr>
        <w:t>Далее был проведен анализ данных по заболеваемости и распространенности болезней органов ротовой полости</w:t>
      </w:r>
      <w:r w:rsidR="00920F6F">
        <w:rPr>
          <w:sz w:val="28"/>
          <w:szCs w:val="28"/>
        </w:rPr>
        <w:t>,</w:t>
      </w:r>
      <w:r w:rsidRPr="00302FD7">
        <w:rPr>
          <w:sz w:val="28"/>
          <w:szCs w:val="28"/>
        </w:rPr>
        <w:t xml:space="preserve"> который включал в себя все болезни</w:t>
      </w:r>
      <w:r>
        <w:rPr>
          <w:sz w:val="28"/>
          <w:szCs w:val="28"/>
        </w:rPr>
        <w:t>,</w:t>
      </w:r>
      <w:r w:rsidRPr="00302FD7">
        <w:rPr>
          <w:sz w:val="28"/>
          <w:szCs w:val="28"/>
        </w:rPr>
        <w:t xml:space="preserve"> имеющие шифр по МКБ 10 от К00 до К14. Было выявлено, что за период 2003–2007г.г. средний показатель распространенности болезн</w:t>
      </w:r>
      <w:r>
        <w:rPr>
          <w:sz w:val="28"/>
          <w:szCs w:val="28"/>
        </w:rPr>
        <w:t xml:space="preserve">ей </w:t>
      </w:r>
      <w:r w:rsidRPr="00302FD7">
        <w:rPr>
          <w:sz w:val="28"/>
          <w:szCs w:val="28"/>
        </w:rPr>
        <w:t>органов ротовой полости среди взрослого населения г. Бишкек составлял 13,1 на 1000 населения, а заболеваемости - 9,2 на 1000 населения. Установлено, что за</w:t>
      </w:r>
      <w:r>
        <w:rPr>
          <w:sz w:val="28"/>
          <w:szCs w:val="28"/>
        </w:rPr>
        <w:t xml:space="preserve"> </w:t>
      </w:r>
      <w:r w:rsidRPr="00302FD7">
        <w:rPr>
          <w:sz w:val="28"/>
          <w:szCs w:val="28"/>
        </w:rPr>
        <w:t xml:space="preserve">данный период времени распространенность выросла в 2,8 раза, а заболеваемость </w:t>
      </w:r>
      <w:r>
        <w:rPr>
          <w:sz w:val="28"/>
          <w:szCs w:val="28"/>
        </w:rPr>
        <w:t xml:space="preserve">- </w:t>
      </w:r>
      <w:r w:rsidRPr="00302FD7">
        <w:rPr>
          <w:sz w:val="28"/>
          <w:szCs w:val="28"/>
        </w:rPr>
        <w:t>в 2,6 раза.</w:t>
      </w:r>
      <w:r>
        <w:rPr>
          <w:sz w:val="28"/>
          <w:szCs w:val="28"/>
        </w:rPr>
        <w:t xml:space="preserve"> Также, </w:t>
      </w:r>
      <w:r w:rsidRPr="00302FD7">
        <w:rPr>
          <w:sz w:val="28"/>
          <w:szCs w:val="28"/>
        </w:rPr>
        <w:t xml:space="preserve">проведенный анализ позволил </w:t>
      </w:r>
      <w:r w:rsidRPr="00302FD7">
        <w:rPr>
          <w:sz w:val="28"/>
          <w:szCs w:val="28"/>
        </w:rPr>
        <w:lastRenderedPageBreak/>
        <w:t xml:space="preserve">продемонстрировать долю хронических заболеваний органов ротовой полости среди взрослого населения, входящих в показатель распространенности. Так, в 2003 году </w:t>
      </w:r>
      <w:r>
        <w:rPr>
          <w:sz w:val="28"/>
          <w:szCs w:val="28"/>
        </w:rPr>
        <w:t>она</w:t>
      </w:r>
      <w:r w:rsidRPr="00302FD7">
        <w:rPr>
          <w:sz w:val="28"/>
          <w:szCs w:val="28"/>
        </w:rPr>
        <w:t xml:space="preserve"> составляла 23,6%, в 2004 году – 16,7%, в 2005 году – 47,8%, в 2006 году – 27,0%, и в 2007 году – 27,1%. </w:t>
      </w:r>
    </w:p>
    <w:p w:rsidR="00254EE8" w:rsidRPr="00302FD7" w:rsidRDefault="00254EE8" w:rsidP="004106FA">
      <w:pPr>
        <w:pStyle w:val="a4"/>
        <w:spacing w:after="0"/>
        <w:ind w:firstLine="708"/>
        <w:jc w:val="both"/>
        <w:rPr>
          <w:sz w:val="28"/>
          <w:szCs w:val="28"/>
        </w:rPr>
      </w:pPr>
      <w:r w:rsidRPr="00302FD7">
        <w:rPr>
          <w:sz w:val="28"/>
          <w:szCs w:val="28"/>
        </w:rPr>
        <w:t>В среднем за весь изучаемый период, доля хронических заболеваний органов ротовой полости являлась достаточно высокой и составляла 28,4%. Выявлено, что с 2003 года наблюдается рост доли хронических заболеваний органов ротовой полости, и, наоборот, снижение доли впервые возникших заболеваний, при этом, данная закономерность имеет прямо-пропорциональную зависимость.</w:t>
      </w:r>
      <w:r>
        <w:rPr>
          <w:sz w:val="28"/>
          <w:szCs w:val="28"/>
        </w:rPr>
        <w:t xml:space="preserve"> При этом </w:t>
      </w:r>
      <w:r w:rsidRPr="00302FD7">
        <w:rPr>
          <w:sz w:val="28"/>
          <w:szCs w:val="28"/>
        </w:rPr>
        <w:t>распространенность кариеса зубов среди обратившихся пациентов составила 80,0±0,04%. В общей структуре кариозного поражения зубов за исследуемы</w:t>
      </w:r>
      <w:r>
        <w:rPr>
          <w:sz w:val="28"/>
          <w:szCs w:val="28"/>
        </w:rPr>
        <w:t>й период времени преобладали не</w:t>
      </w:r>
      <w:r w:rsidRPr="00302FD7">
        <w:rPr>
          <w:sz w:val="28"/>
          <w:szCs w:val="28"/>
        </w:rPr>
        <w:t>осложненные формы кариеса (75,7%), которых было</w:t>
      </w:r>
      <w:r>
        <w:rPr>
          <w:sz w:val="28"/>
          <w:szCs w:val="28"/>
        </w:rPr>
        <w:t xml:space="preserve"> в</w:t>
      </w:r>
      <w:r w:rsidRPr="00302FD7">
        <w:rPr>
          <w:sz w:val="28"/>
          <w:szCs w:val="28"/>
        </w:rPr>
        <w:t xml:space="preserve"> 3,1 раз больше чем осложненных форм (24,3%).</w:t>
      </w:r>
    </w:p>
    <w:p w:rsidR="00254EE8" w:rsidRDefault="00254EE8" w:rsidP="004106FA">
      <w:pPr>
        <w:pStyle w:val="a4"/>
        <w:spacing w:after="0"/>
        <w:ind w:firstLine="708"/>
        <w:jc w:val="both"/>
        <w:rPr>
          <w:sz w:val="28"/>
          <w:szCs w:val="28"/>
        </w:rPr>
      </w:pPr>
      <w:r w:rsidRPr="00302FD7">
        <w:rPr>
          <w:sz w:val="28"/>
          <w:szCs w:val="28"/>
        </w:rPr>
        <w:t xml:space="preserve">При установленной высокой распространенности кариозного поражения зубов и не высоком проценте пациентов с санированной ротовой полостью, было выявлено незначительное число пациентов с пародонтитами (2,4±0,1%). Показатель распространенности пародонтитов варьировал от 2,4% в 2005 году до 3,1% в 2007 году. </w:t>
      </w:r>
      <w:r w:rsidRPr="00450FBA">
        <w:rPr>
          <w:sz w:val="28"/>
          <w:szCs w:val="28"/>
        </w:rPr>
        <w:t>Выявленная</w:t>
      </w:r>
      <w:r w:rsidRPr="00302FD7">
        <w:rPr>
          <w:sz w:val="28"/>
          <w:szCs w:val="28"/>
        </w:rPr>
        <w:t xml:space="preserve"> в исследовании частота пародонтитов не отражает его реальную распространенность в связи с некачественной диагностикой и</w:t>
      </w:r>
      <w:r>
        <w:rPr>
          <w:sz w:val="28"/>
          <w:szCs w:val="28"/>
        </w:rPr>
        <w:t>, возможно, с</w:t>
      </w:r>
      <w:r w:rsidRPr="00302FD7">
        <w:rPr>
          <w:sz w:val="28"/>
          <w:szCs w:val="28"/>
        </w:rPr>
        <w:t xml:space="preserve"> нерешимостью стоматологов оказывать лечебно-профилактическую помощь данным бо</w:t>
      </w:r>
      <w:r>
        <w:rPr>
          <w:sz w:val="28"/>
          <w:szCs w:val="28"/>
        </w:rPr>
        <w:t>льным, в связи с устоявшимся не</w:t>
      </w:r>
      <w:r w:rsidRPr="00302FD7">
        <w:rPr>
          <w:sz w:val="28"/>
          <w:szCs w:val="28"/>
        </w:rPr>
        <w:t>обоснованным представлением о неизлечимости заболеваний пародонта.</w:t>
      </w:r>
    </w:p>
    <w:p w:rsidR="00254EE8" w:rsidRPr="009520AA" w:rsidRDefault="00254EE8" w:rsidP="004106FA">
      <w:pPr>
        <w:ind w:firstLine="708"/>
        <w:jc w:val="both"/>
        <w:rPr>
          <w:sz w:val="28"/>
          <w:szCs w:val="28"/>
        </w:rPr>
      </w:pPr>
      <w:r>
        <w:rPr>
          <w:bCs/>
          <w:sz w:val="28"/>
          <w:szCs w:val="28"/>
        </w:rPr>
        <w:t xml:space="preserve">Далее нами было проведено </w:t>
      </w:r>
      <w:r w:rsidRPr="00405341">
        <w:rPr>
          <w:bCs/>
          <w:sz w:val="28"/>
          <w:szCs w:val="28"/>
        </w:rPr>
        <w:t>исследовани</w:t>
      </w:r>
      <w:r>
        <w:rPr>
          <w:bCs/>
          <w:sz w:val="28"/>
          <w:szCs w:val="28"/>
        </w:rPr>
        <w:t xml:space="preserve">е по изучению </w:t>
      </w:r>
      <w:r w:rsidRPr="009520AA">
        <w:rPr>
          <w:sz w:val="28"/>
          <w:szCs w:val="28"/>
        </w:rPr>
        <w:t>уровня осведомленности врачей-стоматологов</w:t>
      </w:r>
      <w:r>
        <w:rPr>
          <w:sz w:val="28"/>
          <w:szCs w:val="28"/>
        </w:rPr>
        <w:t xml:space="preserve"> </w:t>
      </w:r>
      <w:r w:rsidRPr="00405341">
        <w:rPr>
          <w:bCs/>
          <w:sz w:val="28"/>
          <w:szCs w:val="28"/>
        </w:rPr>
        <w:t>об этиологии, патогенезе и тактике лечения заболеваний пародонта</w:t>
      </w:r>
      <w:r>
        <w:rPr>
          <w:bCs/>
          <w:sz w:val="28"/>
          <w:szCs w:val="28"/>
        </w:rPr>
        <w:t xml:space="preserve">. Так, </w:t>
      </w:r>
      <w:r w:rsidRPr="009520AA">
        <w:rPr>
          <w:sz w:val="28"/>
          <w:szCs w:val="28"/>
        </w:rPr>
        <w:t>оценка знания врачами-стоматологами классификации заболеваний пародонта выявила, что всего 34,5% респондентов имеют представление о</w:t>
      </w:r>
      <w:r>
        <w:rPr>
          <w:sz w:val="28"/>
          <w:szCs w:val="28"/>
        </w:rPr>
        <w:t xml:space="preserve"> полной</w:t>
      </w:r>
      <w:r w:rsidRPr="009520AA">
        <w:rPr>
          <w:sz w:val="28"/>
          <w:szCs w:val="28"/>
        </w:rPr>
        <w:t xml:space="preserve"> классификации заболеваний пародонта, а в 65,5% случаев респонденты указывали не полную, или неверную классификацию заболеваний пародонта. </w:t>
      </w:r>
    </w:p>
    <w:p w:rsidR="00254EE8" w:rsidRDefault="00254EE8" w:rsidP="004106FA">
      <w:pPr>
        <w:jc w:val="both"/>
        <w:rPr>
          <w:sz w:val="28"/>
          <w:szCs w:val="28"/>
        </w:rPr>
      </w:pPr>
      <w:r w:rsidRPr="009520AA">
        <w:rPr>
          <w:sz w:val="28"/>
          <w:szCs w:val="28"/>
        </w:rPr>
        <w:tab/>
      </w:r>
      <w:r w:rsidRPr="00650003">
        <w:rPr>
          <w:sz w:val="28"/>
          <w:szCs w:val="28"/>
        </w:rPr>
        <w:t>Оценка использования стоматологами индексов</w:t>
      </w:r>
      <w:r>
        <w:rPr>
          <w:sz w:val="28"/>
          <w:szCs w:val="28"/>
        </w:rPr>
        <w:t>,</w:t>
      </w:r>
      <w:r w:rsidRPr="00650003">
        <w:rPr>
          <w:sz w:val="28"/>
          <w:szCs w:val="28"/>
        </w:rPr>
        <w:t xml:space="preserve"> характеризующих гигиеническое состояние полости рта, показала, что 13,8% респондентов не использовали в своей практике данные индексы, в 20,7% случаев использовали индекс</w:t>
      </w:r>
      <w:r>
        <w:rPr>
          <w:sz w:val="28"/>
          <w:szCs w:val="28"/>
        </w:rPr>
        <w:t xml:space="preserve"> гигиены по Федорову</w:t>
      </w:r>
      <w:r w:rsidRPr="00650003">
        <w:rPr>
          <w:sz w:val="28"/>
          <w:szCs w:val="28"/>
        </w:rPr>
        <w:t>-Володкин</w:t>
      </w:r>
      <w:r>
        <w:rPr>
          <w:sz w:val="28"/>
          <w:szCs w:val="28"/>
        </w:rPr>
        <w:t>ой</w:t>
      </w:r>
      <w:r w:rsidRPr="00650003">
        <w:rPr>
          <w:sz w:val="28"/>
          <w:szCs w:val="28"/>
        </w:rPr>
        <w:t>. В 49,4% случаев, наряду с индексом</w:t>
      </w:r>
    </w:p>
    <w:p w:rsidR="00254EE8" w:rsidRPr="00650003" w:rsidRDefault="00254EE8" w:rsidP="004106FA">
      <w:pPr>
        <w:jc w:val="both"/>
        <w:rPr>
          <w:sz w:val="28"/>
          <w:szCs w:val="28"/>
        </w:rPr>
      </w:pPr>
      <w:r>
        <w:rPr>
          <w:sz w:val="28"/>
          <w:szCs w:val="28"/>
        </w:rPr>
        <w:t>гигиены по Федорову</w:t>
      </w:r>
      <w:r w:rsidRPr="00650003">
        <w:rPr>
          <w:sz w:val="28"/>
          <w:szCs w:val="28"/>
        </w:rPr>
        <w:t>-Володкин</w:t>
      </w:r>
      <w:r>
        <w:rPr>
          <w:sz w:val="28"/>
          <w:szCs w:val="28"/>
        </w:rPr>
        <w:t>ой,</w:t>
      </w:r>
      <w:r w:rsidRPr="00650003">
        <w:rPr>
          <w:sz w:val="28"/>
          <w:szCs w:val="28"/>
        </w:rPr>
        <w:t xml:space="preserve"> респонденты использовали не предназначенные для данной цели</w:t>
      </w:r>
      <w:r>
        <w:rPr>
          <w:sz w:val="28"/>
          <w:szCs w:val="28"/>
        </w:rPr>
        <w:t xml:space="preserve"> папиллярно-маргинально альвеолярный</w:t>
      </w:r>
      <w:r w:rsidRPr="00650003">
        <w:rPr>
          <w:sz w:val="28"/>
          <w:szCs w:val="28"/>
        </w:rPr>
        <w:t xml:space="preserve"> </w:t>
      </w:r>
      <w:r>
        <w:rPr>
          <w:sz w:val="28"/>
          <w:szCs w:val="28"/>
        </w:rPr>
        <w:t>индекс,</w:t>
      </w:r>
      <w:r w:rsidRPr="00650003">
        <w:rPr>
          <w:sz w:val="28"/>
          <w:szCs w:val="28"/>
        </w:rPr>
        <w:t xml:space="preserve"> пробу Шиллера-Писарева и индекс</w:t>
      </w:r>
      <w:r>
        <w:rPr>
          <w:sz w:val="28"/>
          <w:szCs w:val="28"/>
        </w:rPr>
        <w:t xml:space="preserve"> нуждаемости в лечении болезней пародонта</w:t>
      </w:r>
      <w:r w:rsidRPr="00650003">
        <w:rPr>
          <w:sz w:val="28"/>
          <w:szCs w:val="28"/>
        </w:rPr>
        <w:t xml:space="preserve"> </w:t>
      </w:r>
      <w:r>
        <w:rPr>
          <w:sz w:val="28"/>
          <w:szCs w:val="28"/>
        </w:rPr>
        <w:t>(</w:t>
      </w:r>
      <w:r w:rsidRPr="00650003">
        <w:rPr>
          <w:sz w:val="28"/>
          <w:szCs w:val="28"/>
        </w:rPr>
        <w:t>CPITN</w:t>
      </w:r>
      <w:r>
        <w:rPr>
          <w:sz w:val="28"/>
          <w:szCs w:val="28"/>
        </w:rPr>
        <w:t xml:space="preserve"> -</w:t>
      </w:r>
      <w:r w:rsidRPr="00E74439">
        <w:rPr>
          <w:sz w:val="28"/>
          <w:szCs w:val="28"/>
        </w:rPr>
        <w:t xml:space="preserve"> </w:t>
      </w:r>
      <w:r>
        <w:rPr>
          <w:sz w:val="28"/>
          <w:szCs w:val="28"/>
        </w:rPr>
        <w:t>Сommun</w:t>
      </w:r>
      <w:r>
        <w:rPr>
          <w:sz w:val="28"/>
          <w:szCs w:val="28"/>
          <w:lang w:val="en-IE"/>
        </w:rPr>
        <w:t>ity</w:t>
      </w:r>
      <w:r w:rsidRPr="00E74439">
        <w:rPr>
          <w:sz w:val="28"/>
          <w:szCs w:val="28"/>
        </w:rPr>
        <w:t xml:space="preserve"> </w:t>
      </w:r>
      <w:r>
        <w:rPr>
          <w:sz w:val="28"/>
          <w:szCs w:val="28"/>
          <w:lang w:val="en-IE"/>
        </w:rPr>
        <w:t>Periodontal</w:t>
      </w:r>
      <w:r w:rsidRPr="00E74439">
        <w:rPr>
          <w:sz w:val="28"/>
          <w:szCs w:val="28"/>
        </w:rPr>
        <w:t xml:space="preserve"> </w:t>
      </w:r>
      <w:r>
        <w:rPr>
          <w:sz w:val="28"/>
          <w:szCs w:val="28"/>
          <w:lang w:val="en-IE"/>
        </w:rPr>
        <w:t>Index</w:t>
      </w:r>
      <w:r w:rsidRPr="00E74439">
        <w:rPr>
          <w:sz w:val="28"/>
          <w:szCs w:val="28"/>
        </w:rPr>
        <w:t xml:space="preserve"> </w:t>
      </w:r>
      <w:r>
        <w:rPr>
          <w:sz w:val="28"/>
          <w:szCs w:val="28"/>
          <w:lang w:val="en-IE"/>
        </w:rPr>
        <w:t>of</w:t>
      </w:r>
      <w:r w:rsidRPr="00E74439">
        <w:rPr>
          <w:sz w:val="28"/>
          <w:szCs w:val="28"/>
        </w:rPr>
        <w:t xml:space="preserve"> </w:t>
      </w:r>
      <w:r>
        <w:rPr>
          <w:sz w:val="28"/>
          <w:szCs w:val="28"/>
          <w:lang w:val="en-IE"/>
        </w:rPr>
        <w:t>Treatment</w:t>
      </w:r>
      <w:r w:rsidRPr="0053463A">
        <w:rPr>
          <w:sz w:val="28"/>
          <w:szCs w:val="28"/>
        </w:rPr>
        <w:t xml:space="preserve"> </w:t>
      </w:r>
      <w:r>
        <w:rPr>
          <w:sz w:val="28"/>
          <w:szCs w:val="28"/>
          <w:lang w:val="en-IE"/>
        </w:rPr>
        <w:t>needs</w:t>
      </w:r>
      <w:r>
        <w:rPr>
          <w:sz w:val="28"/>
          <w:szCs w:val="28"/>
        </w:rPr>
        <w:t xml:space="preserve">). </w:t>
      </w:r>
      <w:r w:rsidRPr="00650003">
        <w:rPr>
          <w:sz w:val="28"/>
          <w:szCs w:val="28"/>
        </w:rPr>
        <w:t xml:space="preserve"> В 16,1% случаев, </w:t>
      </w:r>
      <w:r>
        <w:rPr>
          <w:sz w:val="28"/>
          <w:szCs w:val="28"/>
        </w:rPr>
        <w:t>использовали только индекс интенсивности кариеса (</w:t>
      </w:r>
      <w:r w:rsidRPr="00650003">
        <w:rPr>
          <w:sz w:val="28"/>
          <w:szCs w:val="28"/>
        </w:rPr>
        <w:t>КПУ</w:t>
      </w:r>
      <w:r>
        <w:rPr>
          <w:sz w:val="28"/>
          <w:szCs w:val="28"/>
        </w:rPr>
        <w:t>)</w:t>
      </w:r>
      <w:r w:rsidRPr="00650003">
        <w:rPr>
          <w:sz w:val="28"/>
          <w:szCs w:val="28"/>
        </w:rPr>
        <w:t>.</w:t>
      </w:r>
    </w:p>
    <w:p w:rsidR="00254EE8" w:rsidRPr="009520AA" w:rsidRDefault="00254EE8" w:rsidP="004106FA">
      <w:pPr>
        <w:ind w:firstLine="708"/>
        <w:jc w:val="both"/>
        <w:rPr>
          <w:sz w:val="28"/>
          <w:szCs w:val="28"/>
        </w:rPr>
      </w:pPr>
      <w:r w:rsidRPr="00650003">
        <w:rPr>
          <w:sz w:val="28"/>
          <w:szCs w:val="28"/>
        </w:rPr>
        <w:t xml:space="preserve">Для характеристики воспалительных изменений в десневых тканях 77,0% опрошенных использовали </w:t>
      </w:r>
      <w:r>
        <w:rPr>
          <w:sz w:val="28"/>
          <w:szCs w:val="28"/>
        </w:rPr>
        <w:t>папиллярно-маргинально альвеолярный</w:t>
      </w:r>
      <w:r w:rsidRPr="00650003">
        <w:rPr>
          <w:sz w:val="28"/>
          <w:szCs w:val="28"/>
        </w:rPr>
        <w:t xml:space="preserve"> индекс </w:t>
      </w:r>
      <w:r>
        <w:rPr>
          <w:sz w:val="28"/>
          <w:szCs w:val="28"/>
        </w:rPr>
        <w:t>(</w:t>
      </w:r>
      <w:r w:rsidRPr="00650003">
        <w:rPr>
          <w:sz w:val="28"/>
          <w:szCs w:val="28"/>
        </w:rPr>
        <w:t>ПМА</w:t>
      </w:r>
      <w:r>
        <w:rPr>
          <w:sz w:val="28"/>
          <w:szCs w:val="28"/>
        </w:rPr>
        <w:t>)</w:t>
      </w:r>
      <w:r w:rsidRPr="00650003">
        <w:rPr>
          <w:sz w:val="28"/>
          <w:szCs w:val="28"/>
        </w:rPr>
        <w:t xml:space="preserve">, 24,1% использовали пародонтальный индекс Рассела, и 18,4% пробу Шиллера-Писарева. В 9,2% случаев респонденты вообще не использовали </w:t>
      </w:r>
      <w:r w:rsidRPr="00650003">
        <w:rPr>
          <w:sz w:val="28"/>
          <w:szCs w:val="28"/>
        </w:rPr>
        <w:lastRenderedPageBreak/>
        <w:t>оценочные индексы. В 62,1% случаев, наряду с указанными выше индексами респонденты использовали</w:t>
      </w:r>
      <w:r>
        <w:rPr>
          <w:sz w:val="28"/>
          <w:szCs w:val="28"/>
        </w:rPr>
        <w:t xml:space="preserve"> индекс Грин-Вермилли</w:t>
      </w:r>
      <w:r w:rsidRPr="00650003">
        <w:rPr>
          <w:sz w:val="28"/>
          <w:szCs w:val="28"/>
        </w:rPr>
        <w:t>она, индекс Федорова-Володкин</w:t>
      </w:r>
      <w:r>
        <w:rPr>
          <w:sz w:val="28"/>
          <w:szCs w:val="28"/>
        </w:rPr>
        <w:t>ой</w:t>
      </w:r>
      <w:r w:rsidRPr="00650003">
        <w:rPr>
          <w:sz w:val="28"/>
          <w:szCs w:val="28"/>
        </w:rPr>
        <w:t>, гигиенический индекс Рамфьорда, пробу Кулаженко и индекс</w:t>
      </w:r>
      <w:r>
        <w:rPr>
          <w:sz w:val="28"/>
          <w:szCs w:val="28"/>
        </w:rPr>
        <w:t xml:space="preserve"> нуждаемости в лечении болезней пародонта</w:t>
      </w:r>
      <w:r w:rsidRPr="00650003">
        <w:rPr>
          <w:sz w:val="28"/>
          <w:szCs w:val="28"/>
        </w:rPr>
        <w:t xml:space="preserve"> </w:t>
      </w:r>
      <w:r>
        <w:rPr>
          <w:sz w:val="28"/>
          <w:szCs w:val="28"/>
        </w:rPr>
        <w:t>(</w:t>
      </w:r>
      <w:r w:rsidRPr="00650003">
        <w:rPr>
          <w:sz w:val="28"/>
          <w:szCs w:val="28"/>
        </w:rPr>
        <w:t>CPITN</w:t>
      </w:r>
      <w:r>
        <w:rPr>
          <w:sz w:val="28"/>
          <w:szCs w:val="28"/>
        </w:rPr>
        <w:t xml:space="preserve"> -</w:t>
      </w:r>
      <w:r w:rsidRPr="00E74439">
        <w:rPr>
          <w:sz w:val="28"/>
          <w:szCs w:val="28"/>
        </w:rPr>
        <w:t xml:space="preserve"> </w:t>
      </w:r>
      <w:r>
        <w:rPr>
          <w:sz w:val="28"/>
          <w:szCs w:val="28"/>
        </w:rPr>
        <w:t>Сommun</w:t>
      </w:r>
      <w:r>
        <w:rPr>
          <w:sz w:val="28"/>
          <w:szCs w:val="28"/>
          <w:lang w:val="en-IE"/>
        </w:rPr>
        <w:t>ity</w:t>
      </w:r>
      <w:r w:rsidRPr="00E74439">
        <w:rPr>
          <w:sz w:val="28"/>
          <w:szCs w:val="28"/>
        </w:rPr>
        <w:t xml:space="preserve"> </w:t>
      </w:r>
      <w:r>
        <w:rPr>
          <w:sz w:val="28"/>
          <w:szCs w:val="28"/>
          <w:lang w:val="en-IE"/>
        </w:rPr>
        <w:t>Periodontal</w:t>
      </w:r>
      <w:r w:rsidRPr="00E74439">
        <w:rPr>
          <w:sz w:val="28"/>
          <w:szCs w:val="28"/>
        </w:rPr>
        <w:t xml:space="preserve"> </w:t>
      </w:r>
      <w:r>
        <w:rPr>
          <w:sz w:val="28"/>
          <w:szCs w:val="28"/>
          <w:lang w:val="en-IE"/>
        </w:rPr>
        <w:t>Index</w:t>
      </w:r>
      <w:r w:rsidRPr="00E74439">
        <w:rPr>
          <w:sz w:val="28"/>
          <w:szCs w:val="28"/>
        </w:rPr>
        <w:t xml:space="preserve"> </w:t>
      </w:r>
      <w:r>
        <w:rPr>
          <w:sz w:val="28"/>
          <w:szCs w:val="28"/>
          <w:lang w:val="en-IE"/>
        </w:rPr>
        <w:t>of</w:t>
      </w:r>
      <w:r w:rsidRPr="00E74439">
        <w:rPr>
          <w:sz w:val="28"/>
          <w:szCs w:val="28"/>
        </w:rPr>
        <w:t xml:space="preserve"> </w:t>
      </w:r>
      <w:r>
        <w:rPr>
          <w:sz w:val="28"/>
          <w:szCs w:val="28"/>
          <w:lang w:val="en-IE"/>
        </w:rPr>
        <w:t>Treatment</w:t>
      </w:r>
      <w:r w:rsidRPr="0053463A">
        <w:rPr>
          <w:sz w:val="28"/>
          <w:szCs w:val="28"/>
        </w:rPr>
        <w:t xml:space="preserve"> </w:t>
      </w:r>
      <w:r>
        <w:rPr>
          <w:sz w:val="28"/>
          <w:szCs w:val="28"/>
          <w:lang w:val="en-IE"/>
        </w:rPr>
        <w:t>needs</w:t>
      </w:r>
      <w:r>
        <w:rPr>
          <w:sz w:val="28"/>
          <w:szCs w:val="28"/>
        </w:rPr>
        <w:t xml:space="preserve">). </w:t>
      </w:r>
      <w:r w:rsidRPr="00650003">
        <w:rPr>
          <w:sz w:val="28"/>
          <w:szCs w:val="28"/>
        </w:rPr>
        <w:t xml:space="preserve"> </w:t>
      </w:r>
    </w:p>
    <w:p w:rsidR="00254EE8" w:rsidRPr="009520AA" w:rsidRDefault="00254EE8" w:rsidP="004106FA">
      <w:pPr>
        <w:jc w:val="both"/>
        <w:rPr>
          <w:sz w:val="28"/>
          <w:szCs w:val="28"/>
        </w:rPr>
      </w:pPr>
      <w:r w:rsidRPr="009520AA">
        <w:rPr>
          <w:sz w:val="28"/>
          <w:szCs w:val="28"/>
        </w:rPr>
        <w:tab/>
        <w:t>Анализ использования лабораторных методов исследования показал, чт</w:t>
      </w:r>
      <w:r>
        <w:rPr>
          <w:sz w:val="28"/>
          <w:szCs w:val="28"/>
        </w:rPr>
        <w:t xml:space="preserve">о 40,2% </w:t>
      </w:r>
      <w:r w:rsidRPr="009520AA">
        <w:rPr>
          <w:sz w:val="28"/>
          <w:szCs w:val="28"/>
        </w:rPr>
        <w:t>респондентов не использовали в своей практике лабораторные мето</w:t>
      </w:r>
      <w:r>
        <w:rPr>
          <w:sz w:val="28"/>
          <w:szCs w:val="28"/>
        </w:rPr>
        <w:t>ды исследования. В 20,7%</w:t>
      </w:r>
      <w:r w:rsidRPr="009520AA">
        <w:rPr>
          <w:sz w:val="28"/>
          <w:szCs w:val="28"/>
        </w:rPr>
        <w:t xml:space="preserve"> случаев респонденты указывали, что используют рентгенологические и ла</w:t>
      </w:r>
      <w:r>
        <w:rPr>
          <w:sz w:val="28"/>
          <w:szCs w:val="28"/>
        </w:rPr>
        <w:t>бораторные методы исследования (о</w:t>
      </w:r>
      <w:r w:rsidRPr="009520AA">
        <w:rPr>
          <w:sz w:val="28"/>
          <w:szCs w:val="28"/>
        </w:rPr>
        <w:t>бщий анализ крови, общий анализ мочи, определение уровня сахара в крови, иммунологические и микробиологические исследования</w:t>
      </w:r>
      <w:r>
        <w:rPr>
          <w:sz w:val="28"/>
          <w:szCs w:val="28"/>
        </w:rPr>
        <w:t>)</w:t>
      </w:r>
      <w:r w:rsidRPr="009520AA">
        <w:rPr>
          <w:sz w:val="28"/>
          <w:szCs w:val="28"/>
        </w:rPr>
        <w:t>.</w:t>
      </w:r>
    </w:p>
    <w:p w:rsidR="00254EE8" w:rsidRPr="009520AA" w:rsidRDefault="00254EE8" w:rsidP="004106FA">
      <w:pPr>
        <w:ind w:firstLine="708"/>
        <w:jc w:val="both"/>
        <w:rPr>
          <w:sz w:val="28"/>
          <w:szCs w:val="28"/>
        </w:rPr>
      </w:pPr>
      <w:r w:rsidRPr="00E13FDB">
        <w:rPr>
          <w:sz w:val="28"/>
          <w:szCs w:val="28"/>
        </w:rPr>
        <w:t>Изучение</w:t>
      </w:r>
      <w:r w:rsidRPr="009520AA">
        <w:rPr>
          <w:sz w:val="28"/>
          <w:szCs w:val="28"/>
        </w:rPr>
        <w:t xml:space="preserve"> уровня знаний</w:t>
      </w:r>
      <w:r>
        <w:rPr>
          <w:sz w:val="28"/>
          <w:szCs w:val="28"/>
        </w:rPr>
        <w:t xml:space="preserve"> стоматологов относительно</w:t>
      </w:r>
      <w:r w:rsidRPr="009520AA">
        <w:rPr>
          <w:sz w:val="28"/>
          <w:szCs w:val="28"/>
        </w:rPr>
        <w:t xml:space="preserve"> современных принципов лечения заболева</w:t>
      </w:r>
      <w:r>
        <w:rPr>
          <w:sz w:val="28"/>
          <w:szCs w:val="28"/>
        </w:rPr>
        <w:t>ни</w:t>
      </w:r>
      <w:r w:rsidRPr="009520AA">
        <w:rPr>
          <w:sz w:val="28"/>
          <w:szCs w:val="28"/>
        </w:rPr>
        <w:t>й пародонта</w:t>
      </w:r>
      <w:r>
        <w:rPr>
          <w:sz w:val="28"/>
          <w:szCs w:val="28"/>
        </w:rPr>
        <w:t xml:space="preserve"> показала, </w:t>
      </w:r>
      <w:r w:rsidRPr="009520AA">
        <w:rPr>
          <w:sz w:val="28"/>
          <w:szCs w:val="28"/>
        </w:rPr>
        <w:t xml:space="preserve">что все опрошенные </w:t>
      </w:r>
      <w:r>
        <w:rPr>
          <w:sz w:val="28"/>
          <w:szCs w:val="28"/>
        </w:rPr>
        <w:t>респонденты</w:t>
      </w:r>
      <w:r w:rsidRPr="009520AA">
        <w:rPr>
          <w:sz w:val="28"/>
          <w:szCs w:val="28"/>
        </w:rPr>
        <w:t xml:space="preserve"> не смогли сформулировать основные принципы лечения заболеваний пародонта. При этом 21,8% респондентов затруднились отве</w:t>
      </w:r>
      <w:r>
        <w:rPr>
          <w:sz w:val="28"/>
          <w:szCs w:val="28"/>
        </w:rPr>
        <w:t xml:space="preserve">тить на данный вопрос, а 78,2% </w:t>
      </w:r>
      <w:r w:rsidRPr="009520AA">
        <w:rPr>
          <w:sz w:val="28"/>
          <w:szCs w:val="28"/>
        </w:rPr>
        <w:t xml:space="preserve">респондентов отмечали различные варианты и их сочетания, не относящиеся </w:t>
      </w:r>
      <w:r>
        <w:rPr>
          <w:sz w:val="28"/>
          <w:szCs w:val="28"/>
        </w:rPr>
        <w:t xml:space="preserve">к основным </w:t>
      </w:r>
      <w:r w:rsidRPr="009520AA">
        <w:rPr>
          <w:sz w:val="28"/>
          <w:szCs w:val="28"/>
        </w:rPr>
        <w:t>принципам лечения заболеваний пародонта.</w:t>
      </w:r>
      <w:r>
        <w:rPr>
          <w:sz w:val="28"/>
          <w:szCs w:val="28"/>
        </w:rPr>
        <w:t xml:space="preserve"> </w:t>
      </w:r>
      <w:r w:rsidRPr="009520AA">
        <w:rPr>
          <w:sz w:val="28"/>
          <w:szCs w:val="28"/>
        </w:rPr>
        <w:t>Оценка знания основных этапов комплексного лечения заболеваний пародонта показала, что 66,7% респондентов затруднились назвать все этапы</w:t>
      </w:r>
      <w:r>
        <w:rPr>
          <w:sz w:val="28"/>
          <w:szCs w:val="28"/>
        </w:rPr>
        <w:t xml:space="preserve">, а 33,3% респондентов </w:t>
      </w:r>
      <w:r w:rsidRPr="009520AA">
        <w:rPr>
          <w:sz w:val="28"/>
          <w:szCs w:val="28"/>
        </w:rPr>
        <w:t>отмечали различные варианты этапов лечения и их сочетание, не относящихся к комплексному подходу.</w:t>
      </w:r>
    </w:p>
    <w:p w:rsidR="00254EE8" w:rsidRPr="009520AA" w:rsidRDefault="00254EE8" w:rsidP="004106FA">
      <w:pPr>
        <w:jc w:val="both"/>
        <w:rPr>
          <w:sz w:val="28"/>
          <w:szCs w:val="28"/>
        </w:rPr>
      </w:pPr>
      <w:r w:rsidRPr="009520AA">
        <w:rPr>
          <w:sz w:val="28"/>
          <w:szCs w:val="28"/>
        </w:rPr>
        <w:tab/>
        <w:t xml:space="preserve">Оценка </w:t>
      </w:r>
      <w:r>
        <w:rPr>
          <w:sz w:val="28"/>
          <w:szCs w:val="28"/>
        </w:rPr>
        <w:t xml:space="preserve">знаний по </w:t>
      </w:r>
      <w:r w:rsidRPr="009520AA">
        <w:rPr>
          <w:sz w:val="28"/>
          <w:szCs w:val="28"/>
        </w:rPr>
        <w:t>использовани</w:t>
      </w:r>
      <w:r>
        <w:rPr>
          <w:sz w:val="28"/>
          <w:szCs w:val="28"/>
        </w:rPr>
        <w:t>ю</w:t>
      </w:r>
      <w:r w:rsidRPr="009520AA">
        <w:rPr>
          <w:sz w:val="28"/>
          <w:szCs w:val="28"/>
        </w:rPr>
        <w:t xml:space="preserve"> антимикробных препаратов (АМП) для лечения воспалительных заболеваний тканей пародонта, показала, что наиболее часто</w:t>
      </w:r>
      <w:r>
        <w:rPr>
          <w:sz w:val="28"/>
          <w:szCs w:val="28"/>
        </w:rPr>
        <w:t xml:space="preserve">, в 57,5% </w:t>
      </w:r>
      <w:r w:rsidRPr="009520AA">
        <w:rPr>
          <w:sz w:val="28"/>
          <w:szCs w:val="28"/>
        </w:rPr>
        <w:t xml:space="preserve"> для этой цели врачи-стоматологи использовали АМП </w:t>
      </w:r>
      <w:r>
        <w:rPr>
          <w:sz w:val="28"/>
          <w:szCs w:val="28"/>
        </w:rPr>
        <w:t xml:space="preserve"> </w:t>
      </w:r>
      <w:r w:rsidRPr="009520AA">
        <w:rPr>
          <w:sz w:val="28"/>
          <w:szCs w:val="28"/>
        </w:rPr>
        <w:t>метронидазол. Второе место</w:t>
      </w:r>
      <w:r>
        <w:rPr>
          <w:sz w:val="28"/>
          <w:szCs w:val="28"/>
        </w:rPr>
        <w:t xml:space="preserve">, </w:t>
      </w:r>
      <w:r w:rsidRPr="009520AA">
        <w:rPr>
          <w:sz w:val="28"/>
          <w:szCs w:val="28"/>
        </w:rPr>
        <w:t>по частоте использования</w:t>
      </w:r>
      <w:r>
        <w:rPr>
          <w:sz w:val="28"/>
          <w:szCs w:val="28"/>
        </w:rPr>
        <w:t xml:space="preserve"> -</w:t>
      </w:r>
      <w:r w:rsidRPr="009520AA">
        <w:rPr>
          <w:sz w:val="28"/>
          <w:szCs w:val="28"/>
        </w:rPr>
        <w:t xml:space="preserve"> 55,2% занимали АМП из группы β-лактамных антибиотиков – амоксициллин и амоксициллин/клавуланат. Далее следовали АМП из группы линкозамидов</w:t>
      </w:r>
      <w:r>
        <w:rPr>
          <w:sz w:val="28"/>
          <w:szCs w:val="28"/>
        </w:rPr>
        <w:t xml:space="preserve"> -</w:t>
      </w:r>
      <w:r w:rsidRPr="009520AA">
        <w:rPr>
          <w:sz w:val="28"/>
          <w:szCs w:val="28"/>
        </w:rPr>
        <w:t xml:space="preserve"> </w:t>
      </w:r>
      <w:r>
        <w:rPr>
          <w:sz w:val="28"/>
          <w:szCs w:val="28"/>
        </w:rPr>
        <w:t>линкомицин – 47,1%</w:t>
      </w:r>
      <w:r w:rsidRPr="009520AA">
        <w:rPr>
          <w:sz w:val="28"/>
          <w:szCs w:val="28"/>
        </w:rPr>
        <w:t>, м</w:t>
      </w:r>
      <w:r>
        <w:rPr>
          <w:sz w:val="28"/>
          <w:szCs w:val="28"/>
        </w:rPr>
        <w:t>а</w:t>
      </w:r>
      <w:r w:rsidRPr="009520AA">
        <w:rPr>
          <w:sz w:val="28"/>
          <w:szCs w:val="28"/>
        </w:rPr>
        <w:t xml:space="preserve">кролидов </w:t>
      </w:r>
      <w:r>
        <w:rPr>
          <w:sz w:val="28"/>
          <w:szCs w:val="28"/>
        </w:rPr>
        <w:t xml:space="preserve">– </w:t>
      </w:r>
      <w:r w:rsidRPr="009520AA">
        <w:rPr>
          <w:sz w:val="28"/>
          <w:szCs w:val="28"/>
        </w:rPr>
        <w:t>эритромицин</w:t>
      </w:r>
      <w:r>
        <w:rPr>
          <w:sz w:val="28"/>
          <w:szCs w:val="28"/>
        </w:rPr>
        <w:t>, в</w:t>
      </w:r>
      <w:r w:rsidRPr="009520AA">
        <w:rPr>
          <w:sz w:val="28"/>
          <w:szCs w:val="28"/>
        </w:rPr>
        <w:t xml:space="preserve"> 20,7% и хлорамфениколов </w:t>
      </w:r>
      <w:r>
        <w:rPr>
          <w:sz w:val="28"/>
          <w:szCs w:val="28"/>
        </w:rPr>
        <w:t xml:space="preserve">- </w:t>
      </w:r>
      <w:r w:rsidRPr="009520AA">
        <w:rPr>
          <w:sz w:val="28"/>
          <w:szCs w:val="28"/>
        </w:rPr>
        <w:t xml:space="preserve">хлорамфеникол </w:t>
      </w:r>
      <w:r>
        <w:rPr>
          <w:sz w:val="28"/>
          <w:szCs w:val="28"/>
        </w:rPr>
        <w:t>4,6% анкетируемых</w:t>
      </w:r>
      <w:r w:rsidRPr="009520AA">
        <w:rPr>
          <w:sz w:val="28"/>
          <w:szCs w:val="28"/>
        </w:rPr>
        <w:t xml:space="preserve">. Также </w:t>
      </w:r>
      <w:r>
        <w:rPr>
          <w:sz w:val="28"/>
          <w:szCs w:val="28"/>
        </w:rPr>
        <w:t>18,4%</w:t>
      </w:r>
      <w:r w:rsidRPr="009520AA">
        <w:rPr>
          <w:sz w:val="28"/>
          <w:szCs w:val="28"/>
        </w:rPr>
        <w:t>, респондент</w:t>
      </w:r>
      <w:r>
        <w:rPr>
          <w:sz w:val="28"/>
          <w:szCs w:val="28"/>
        </w:rPr>
        <w:t>ов указали</w:t>
      </w:r>
      <w:r w:rsidRPr="009520AA">
        <w:rPr>
          <w:sz w:val="28"/>
          <w:szCs w:val="28"/>
        </w:rPr>
        <w:t xml:space="preserve">, что в качестве АМП для лечения воспалительных заболеваний тканей пародонта они используют </w:t>
      </w:r>
      <w:r>
        <w:rPr>
          <w:sz w:val="28"/>
          <w:szCs w:val="28"/>
        </w:rPr>
        <w:t>антисептик -</w:t>
      </w:r>
      <w:r w:rsidRPr="009520AA">
        <w:rPr>
          <w:sz w:val="28"/>
          <w:szCs w:val="28"/>
        </w:rPr>
        <w:t xml:space="preserve"> хлоргексидина биглюканат и </w:t>
      </w:r>
      <w:r>
        <w:rPr>
          <w:sz w:val="28"/>
          <w:szCs w:val="28"/>
        </w:rPr>
        <w:t xml:space="preserve">4,6% врачей </w:t>
      </w:r>
      <w:r w:rsidRPr="009520AA">
        <w:rPr>
          <w:sz w:val="28"/>
          <w:szCs w:val="28"/>
        </w:rPr>
        <w:t>интерферон</w:t>
      </w:r>
      <w:r>
        <w:rPr>
          <w:sz w:val="28"/>
          <w:szCs w:val="28"/>
        </w:rPr>
        <w:t xml:space="preserve">, препарат с </w:t>
      </w:r>
      <w:r w:rsidRPr="009520AA">
        <w:rPr>
          <w:sz w:val="28"/>
          <w:szCs w:val="28"/>
        </w:rPr>
        <w:t>иммуномодулирующи</w:t>
      </w:r>
      <w:r>
        <w:rPr>
          <w:sz w:val="28"/>
          <w:szCs w:val="28"/>
        </w:rPr>
        <w:t>м эффектом</w:t>
      </w:r>
      <w:r w:rsidRPr="009520AA">
        <w:rPr>
          <w:sz w:val="28"/>
          <w:szCs w:val="28"/>
        </w:rPr>
        <w:t>. Продолжительность назначения АМП для лечения воспалительных заболеваний тканей пародонта</w:t>
      </w:r>
      <w:r>
        <w:rPr>
          <w:sz w:val="28"/>
          <w:szCs w:val="28"/>
        </w:rPr>
        <w:t>,</w:t>
      </w:r>
      <w:r w:rsidRPr="009520AA">
        <w:rPr>
          <w:sz w:val="28"/>
          <w:szCs w:val="28"/>
        </w:rPr>
        <w:t xml:space="preserve"> </w:t>
      </w:r>
      <w:r>
        <w:rPr>
          <w:sz w:val="28"/>
          <w:szCs w:val="28"/>
        </w:rPr>
        <w:t xml:space="preserve">определенная врачами-стоматологами </w:t>
      </w:r>
      <w:r w:rsidRPr="009520AA">
        <w:rPr>
          <w:sz w:val="28"/>
          <w:szCs w:val="28"/>
        </w:rPr>
        <w:t xml:space="preserve">варьировала </w:t>
      </w:r>
      <w:r w:rsidRPr="001E1B9C">
        <w:rPr>
          <w:sz w:val="28"/>
          <w:szCs w:val="28"/>
        </w:rPr>
        <w:t>от 5 до 10 суток и в среднем составляла 7,7 суток. Для лечения воспалительн</w:t>
      </w:r>
      <w:r w:rsidRPr="009520AA">
        <w:rPr>
          <w:sz w:val="28"/>
          <w:szCs w:val="28"/>
        </w:rPr>
        <w:t xml:space="preserve">ых заболеваний тканей пародонта, в 56,1% случаев </w:t>
      </w:r>
      <w:r>
        <w:rPr>
          <w:sz w:val="28"/>
          <w:szCs w:val="28"/>
        </w:rPr>
        <w:t xml:space="preserve">отмечено </w:t>
      </w:r>
      <w:r w:rsidRPr="009520AA">
        <w:rPr>
          <w:sz w:val="28"/>
          <w:szCs w:val="28"/>
        </w:rPr>
        <w:t>местно</w:t>
      </w:r>
      <w:r>
        <w:rPr>
          <w:sz w:val="28"/>
          <w:szCs w:val="28"/>
        </w:rPr>
        <w:t>е</w:t>
      </w:r>
      <w:r w:rsidRPr="009520AA">
        <w:rPr>
          <w:sz w:val="28"/>
          <w:szCs w:val="28"/>
        </w:rPr>
        <w:t xml:space="preserve"> назнач</w:t>
      </w:r>
      <w:r>
        <w:rPr>
          <w:sz w:val="28"/>
          <w:szCs w:val="28"/>
        </w:rPr>
        <w:t>ение</w:t>
      </w:r>
      <w:r w:rsidRPr="009520AA">
        <w:rPr>
          <w:sz w:val="28"/>
          <w:szCs w:val="28"/>
        </w:rPr>
        <w:t xml:space="preserve"> АМП, в 39,8% случаев – перорально</w:t>
      </w:r>
      <w:r>
        <w:rPr>
          <w:sz w:val="28"/>
          <w:szCs w:val="28"/>
        </w:rPr>
        <w:t>е</w:t>
      </w:r>
      <w:r w:rsidRPr="009520AA">
        <w:rPr>
          <w:sz w:val="28"/>
          <w:szCs w:val="28"/>
        </w:rPr>
        <w:t xml:space="preserve"> и в 4,1% – внутримышечно</w:t>
      </w:r>
      <w:r>
        <w:rPr>
          <w:sz w:val="28"/>
          <w:szCs w:val="28"/>
        </w:rPr>
        <w:t>е</w:t>
      </w:r>
      <w:r w:rsidRPr="009520AA">
        <w:rPr>
          <w:sz w:val="28"/>
          <w:szCs w:val="28"/>
        </w:rPr>
        <w:t>.</w:t>
      </w:r>
    </w:p>
    <w:p w:rsidR="00254EE8" w:rsidRPr="009520AA" w:rsidRDefault="00254EE8" w:rsidP="004106FA">
      <w:pPr>
        <w:ind w:firstLine="708"/>
        <w:jc w:val="both"/>
        <w:rPr>
          <w:sz w:val="28"/>
          <w:szCs w:val="28"/>
        </w:rPr>
      </w:pPr>
      <w:r w:rsidRPr="00F93F63">
        <w:rPr>
          <w:sz w:val="28"/>
          <w:szCs w:val="28"/>
        </w:rPr>
        <w:t xml:space="preserve">Результаты анализа показали, что наиболее часто </w:t>
      </w:r>
      <w:r>
        <w:rPr>
          <w:sz w:val="28"/>
          <w:szCs w:val="28"/>
        </w:rPr>
        <w:t>в</w:t>
      </w:r>
      <w:r w:rsidRPr="00F93F63">
        <w:rPr>
          <w:sz w:val="28"/>
          <w:szCs w:val="28"/>
        </w:rPr>
        <w:t xml:space="preserve"> 94,7% случаев для лечения воспалительных заболеваний пародонта </w:t>
      </w:r>
      <w:r>
        <w:rPr>
          <w:sz w:val="28"/>
          <w:szCs w:val="28"/>
        </w:rPr>
        <w:t xml:space="preserve">использовали </w:t>
      </w:r>
      <w:r w:rsidRPr="00F93F63">
        <w:rPr>
          <w:sz w:val="28"/>
          <w:szCs w:val="28"/>
        </w:rPr>
        <w:t xml:space="preserve">метронидазол </w:t>
      </w:r>
      <w:r w:rsidRPr="00E13FDB">
        <w:rPr>
          <w:color w:val="000000"/>
          <w:sz w:val="28"/>
          <w:szCs w:val="28"/>
        </w:rPr>
        <w:t>местно, в виде геля или сухого порошка и в 5,3% случаев перорально. АМП из второй группы, в частности, амоксициллин в равной степени по 50%, как местно, так и перорально. 100% врачей-стоматологов, т.е. все, назначали</w:t>
      </w:r>
      <w:r w:rsidRPr="009520AA">
        <w:rPr>
          <w:sz w:val="28"/>
          <w:szCs w:val="28"/>
        </w:rPr>
        <w:t xml:space="preserve"> Амоксициллин/клавуланат только перорально</w:t>
      </w:r>
      <w:r>
        <w:rPr>
          <w:sz w:val="28"/>
          <w:szCs w:val="28"/>
        </w:rPr>
        <w:t xml:space="preserve">, такая же картина с </w:t>
      </w:r>
      <w:r>
        <w:rPr>
          <w:sz w:val="28"/>
          <w:szCs w:val="28"/>
        </w:rPr>
        <w:lastRenderedPageBreak/>
        <w:t xml:space="preserve">использованием </w:t>
      </w:r>
      <w:r w:rsidRPr="009520AA">
        <w:rPr>
          <w:sz w:val="28"/>
          <w:szCs w:val="28"/>
        </w:rPr>
        <w:t>хлорамфеникол</w:t>
      </w:r>
      <w:r>
        <w:rPr>
          <w:sz w:val="28"/>
          <w:szCs w:val="28"/>
        </w:rPr>
        <w:t>а, но применяли только</w:t>
      </w:r>
      <w:r w:rsidRPr="009520AA">
        <w:rPr>
          <w:sz w:val="28"/>
          <w:szCs w:val="28"/>
        </w:rPr>
        <w:t xml:space="preserve"> местно </w:t>
      </w:r>
      <w:r>
        <w:rPr>
          <w:sz w:val="28"/>
          <w:szCs w:val="28"/>
        </w:rPr>
        <w:t xml:space="preserve">- </w:t>
      </w:r>
      <w:r w:rsidRPr="009520AA">
        <w:rPr>
          <w:sz w:val="28"/>
          <w:szCs w:val="28"/>
        </w:rPr>
        <w:t>100%. Линкомицин чаще назначался местно, реже перорально или внутримышечно. Эритромицин чаше всего назначался перорально, и только в 11,1% случаев местно.</w:t>
      </w:r>
    </w:p>
    <w:p w:rsidR="00254EE8" w:rsidRPr="009520AA" w:rsidRDefault="00254EE8" w:rsidP="004106FA">
      <w:pPr>
        <w:ind w:firstLine="708"/>
        <w:jc w:val="both"/>
        <w:rPr>
          <w:sz w:val="28"/>
          <w:szCs w:val="28"/>
        </w:rPr>
      </w:pPr>
      <w:r>
        <w:rPr>
          <w:sz w:val="28"/>
          <w:szCs w:val="28"/>
        </w:rPr>
        <w:t>Н</w:t>
      </w:r>
      <w:r w:rsidRPr="009520AA">
        <w:rPr>
          <w:sz w:val="28"/>
          <w:szCs w:val="28"/>
        </w:rPr>
        <w:t>аиболее нерационально с точки зрения кратности введения, врачи-стоматологи назначают: хлорамфеникол, эритромицин, линкомицин, амоксициллин амоксициллин/клавуланат и метронидазол.</w:t>
      </w:r>
    </w:p>
    <w:p w:rsidR="00254EE8" w:rsidRPr="009520AA" w:rsidRDefault="00254EE8" w:rsidP="004106FA">
      <w:pPr>
        <w:jc w:val="both"/>
        <w:rPr>
          <w:sz w:val="28"/>
          <w:szCs w:val="28"/>
        </w:rPr>
      </w:pPr>
      <w:r w:rsidRPr="009520AA">
        <w:rPr>
          <w:sz w:val="28"/>
          <w:szCs w:val="28"/>
        </w:rPr>
        <w:tab/>
      </w:r>
      <w:r>
        <w:rPr>
          <w:sz w:val="28"/>
          <w:szCs w:val="28"/>
        </w:rPr>
        <w:t>В</w:t>
      </w:r>
      <w:r w:rsidRPr="009520AA">
        <w:rPr>
          <w:sz w:val="28"/>
          <w:szCs w:val="28"/>
        </w:rPr>
        <w:t xml:space="preserve"> структуре используемых антисептиков наиболее часто врачи-стоматологи указывали на водные растворы х</w:t>
      </w:r>
      <w:r>
        <w:rPr>
          <w:sz w:val="28"/>
          <w:szCs w:val="28"/>
        </w:rPr>
        <w:t>лоргексидина биглюконата</w:t>
      </w:r>
      <w:r w:rsidRPr="009520AA">
        <w:rPr>
          <w:sz w:val="28"/>
          <w:szCs w:val="28"/>
        </w:rPr>
        <w:t xml:space="preserve">, фурациллина </w:t>
      </w:r>
      <w:r>
        <w:rPr>
          <w:sz w:val="28"/>
          <w:szCs w:val="28"/>
        </w:rPr>
        <w:t xml:space="preserve">21,7%, перманганата калия </w:t>
      </w:r>
      <w:r w:rsidRPr="009520AA">
        <w:rPr>
          <w:sz w:val="28"/>
          <w:szCs w:val="28"/>
        </w:rPr>
        <w:t>17,9% и пер</w:t>
      </w:r>
      <w:r>
        <w:rPr>
          <w:sz w:val="28"/>
          <w:szCs w:val="28"/>
        </w:rPr>
        <w:t>е</w:t>
      </w:r>
      <w:r w:rsidRPr="009520AA">
        <w:rPr>
          <w:sz w:val="28"/>
          <w:szCs w:val="28"/>
        </w:rPr>
        <w:t>киси водорода 14,2%. Реже, назначались водный раствор фуксина (2,8%) или йодинол (1,9%). Также для данной цели в 15,1% случаев врачами-стоматологами использовались препараты растительного происхождения.</w:t>
      </w:r>
    </w:p>
    <w:p w:rsidR="00254EE8" w:rsidRPr="009520AA" w:rsidRDefault="00254EE8" w:rsidP="004106FA">
      <w:pPr>
        <w:ind w:firstLine="708"/>
        <w:jc w:val="both"/>
        <w:rPr>
          <w:sz w:val="28"/>
          <w:szCs w:val="28"/>
        </w:rPr>
      </w:pPr>
      <w:r>
        <w:rPr>
          <w:sz w:val="28"/>
          <w:szCs w:val="28"/>
        </w:rPr>
        <w:t>О</w:t>
      </w:r>
      <w:r w:rsidRPr="009520AA">
        <w:rPr>
          <w:sz w:val="28"/>
          <w:szCs w:val="28"/>
        </w:rPr>
        <w:t>ценка уровня знаний респондентами основных этапов этиотропной</w:t>
      </w:r>
      <w:r>
        <w:rPr>
          <w:sz w:val="28"/>
          <w:szCs w:val="28"/>
        </w:rPr>
        <w:t xml:space="preserve"> и</w:t>
      </w:r>
      <w:r w:rsidRPr="009520AA">
        <w:rPr>
          <w:sz w:val="28"/>
          <w:szCs w:val="28"/>
        </w:rPr>
        <w:t xml:space="preserve"> патогенетической терапии воспалительных заболеваний пародонта</w:t>
      </w:r>
      <w:r>
        <w:rPr>
          <w:sz w:val="28"/>
          <w:szCs w:val="28"/>
        </w:rPr>
        <w:t xml:space="preserve"> показала, что</w:t>
      </w:r>
      <w:r w:rsidRPr="009520AA">
        <w:rPr>
          <w:sz w:val="28"/>
          <w:szCs w:val="28"/>
        </w:rPr>
        <w:t xml:space="preserve"> в 90,8% случаев в качестве основных этапов этиотропной терапии воспалительных заболеваний пародонта, респонденты указывали на удаление зубного налета и зубного камня, и местную и/или общую анти</w:t>
      </w:r>
      <w:r>
        <w:rPr>
          <w:sz w:val="28"/>
          <w:szCs w:val="28"/>
        </w:rPr>
        <w:t>микробную терапию. В 4,6%</w:t>
      </w:r>
      <w:r w:rsidRPr="009520AA">
        <w:rPr>
          <w:sz w:val="28"/>
          <w:szCs w:val="28"/>
        </w:rPr>
        <w:t xml:space="preserve"> случаев респондентами было указано только на антимикробную терапию</w:t>
      </w:r>
      <w:r>
        <w:rPr>
          <w:sz w:val="28"/>
          <w:szCs w:val="28"/>
        </w:rPr>
        <w:t>, а</w:t>
      </w:r>
      <w:r w:rsidRPr="009520AA">
        <w:rPr>
          <w:sz w:val="28"/>
          <w:szCs w:val="28"/>
        </w:rPr>
        <w:t xml:space="preserve"> 4,6% </w:t>
      </w:r>
      <w:r>
        <w:rPr>
          <w:color w:val="FF0000"/>
          <w:sz w:val="28"/>
          <w:szCs w:val="28"/>
        </w:rPr>
        <w:t xml:space="preserve"> </w:t>
      </w:r>
      <w:r w:rsidRPr="009520AA">
        <w:rPr>
          <w:sz w:val="28"/>
          <w:szCs w:val="28"/>
        </w:rPr>
        <w:t xml:space="preserve"> респондент</w:t>
      </w:r>
      <w:r>
        <w:rPr>
          <w:sz w:val="28"/>
          <w:szCs w:val="28"/>
        </w:rPr>
        <w:t>ов</w:t>
      </w:r>
      <w:r w:rsidRPr="009520AA">
        <w:rPr>
          <w:sz w:val="28"/>
          <w:szCs w:val="28"/>
        </w:rPr>
        <w:t xml:space="preserve"> указывали на удаление зубного налета и стимуляцию регенерати</w:t>
      </w:r>
      <w:r>
        <w:rPr>
          <w:sz w:val="28"/>
          <w:szCs w:val="28"/>
        </w:rPr>
        <w:t>вных процессов в тканях паро</w:t>
      </w:r>
      <w:r w:rsidRPr="009520AA">
        <w:rPr>
          <w:sz w:val="28"/>
          <w:szCs w:val="28"/>
        </w:rPr>
        <w:t>донта. При этом, как известно основными этапами этиотропной терапии являются – снятие зубного налета и камня, гигиеническое обучение пациентов и контроль гигиены полости рта, и устранение факторов способствующих образованию налета и камня. В</w:t>
      </w:r>
      <w:r>
        <w:rPr>
          <w:sz w:val="28"/>
          <w:szCs w:val="28"/>
        </w:rPr>
        <w:t xml:space="preserve">сего 70,1%  </w:t>
      </w:r>
      <w:r w:rsidRPr="009520AA">
        <w:rPr>
          <w:sz w:val="28"/>
          <w:szCs w:val="28"/>
        </w:rPr>
        <w:t xml:space="preserve"> </w:t>
      </w:r>
      <w:r>
        <w:rPr>
          <w:sz w:val="28"/>
          <w:szCs w:val="28"/>
        </w:rPr>
        <w:t>респондентов</w:t>
      </w:r>
      <w:r w:rsidRPr="009520AA">
        <w:rPr>
          <w:sz w:val="28"/>
          <w:szCs w:val="28"/>
        </w:rPr>
        <w:t xml:space="preserve"> в качестве этапов патогенетической терапии воспалительных заболеваний пародонта, правильно указали на противовоспалительную терапию, стимуляцию реген</w:t>
      </w:r>
      <w:r>
        <w:rPr>
          <w:sz w:val="28"/>
          <w:szCs w:val="28"/>
        </w:rPr>
        <w:t>е</w:t>
      </w:r>
      <w:r w:rsidRPr="009520AA">
        <w:rPr>
          <w:sz w:val="28"/>
          <w:szCs w:val="28"/>
        </w:rPr>
        <w:t>ративных процессов в тканях пародонта и леч</w:t>
      </w:r>
      <w:r>
        <w:rPr>
          <w:sz w:val="28"/>
          <w:szCs w:val="28"/>
        </w:rPr>
        <w:t>ение сопутствующих заболеваний.</w:t>
      </w:r>
    </w:p>
    <w:p w:rsidR="00254EE8" w:rsidRDefault="00254EE8" w:rsidP="007735B7">
      <w:pPr>
        <w:ind w:firstLine="708"/>
        <w:contextualSpacing/>
        <w:jc w:val="both"/>
        <w:rPr>
          <w:sz w:val="28"/>
          <w:szCs w:val="28"/>
        </w:rPr>
      </w:pPr>
      <w:r w:rsidRPr="009520AA">
        <w:rPr>
          <w:sz w:val="28"/>
          <w:szCs w:val="28"/>
        </w:rPr>
        <w:t>Таким образом, проведенное исследование показало, что большинство стоматологов не имеют достаточно</w:t>
      </w:r>
      <w:r>
        <w:rPr>
          <w:sz w:val="28"/>
          <w:szCs w:val="28"/>
        </w:rPr>
        <w:t xml:space="preserve"> полного </w:t>
      </w:r>
      <w:r w:rsidRPr="009520AA">
        <w:rPr>
          <w:sz w:val="28"/>
          <w:szCs w:val="28"/>
        </w:rPr>
        <w:t xml:space="preserve">представления об основных принципах комплексного </w:t>
      </w:r>
      <w:r>
        <w:rPr>
          <w:sz w:val="28"/>
          <w:szCs w:val="28"/>
        </w:rPr>
        <w:t xml:space="preserve"> </w:t>
      </w:r>
      <w:r w:rsidRPr="009520AA">
        <w:rPr>
          <w:sz w:val="28"/>
          <w:szCs w:val="28"/>
        </w:rPr>
        <w:t>лечени</w:t>
      </w:r>
      <w:r>
        <w:rPr>
          <w:sz w:val="28"/>
          <w:szCs w:val="28"/>
        </w:rPr>
        <w:t>я</w:t>
      </w:r>
      <w:r w:rsidRPr="009520AA">
        <w:rPr>
          <w:sz w:val="28"/>
          <w:szCs w:val="28"/>
        </w:rPr>
        <w:t xml:space="preserve"> воспалительных</w:t>
      </w:r>
      <w:r>
        <w:rPr>
          <w:sz w:val="28"/>
          <w:szCs w:val="28"/>
        </w:rPr>
        <w:t xml:space="preserve"> заболеваний тканей пародонта, </w:t>
      </w:r>
      <w:r w:rsidRPr="009520AA">
        <w:rPr>
          <w:sz w:val="28"/>
          <w:szCs w:val="28"/>
        </w:rPr>
        <w:t xml:space="preserve">имеют низкий уровень знаний </w:t>
      </w:r>
      <w:r>
        <w:rPr>
          <w:sz w:val="28"/>
          <w:szCs w:val="28"/>
        </w:rPr>
        <w:t xml:space="preserve">о рациональном использовании </w:t>
      </w:r>
      <w:r w:rsidRPr="009520AA">
        <w:rPr>
          <w:sz w:val="28"/>
          <w:szCs w:val="28"/>
        </w:rPr>
        <w:t>лекарственных средств, и</w:t>
      </w:r>
      <w:r>
        <w:rPr>
          <w:sz w:val="28"/>
          <w:szCs w:val="28"/>
        </w:rPr>
        <w:t>,</w:t>
      </w:r>
      <w:r w:rsidRPr="009520AA">
        <w:rPr>
          <w:sz w:val="28"/>
          <w:szCs w:val="28"/>
        </w:rPr>
        <w:t xml:space="preserve"> в частности</w:t>
      </w:r>
      <w:r>
        <w:rPr>
          <w:sz w:val="28"/>
          <w:szCs w:val="28"/>
        </w:rPr>
        <w:t>,</w:t>
      </w:r>
      <w:r w:rsidRPr="009520AA">
        <w:rPr>
          <w:sz w:val="28"/>
          <w:szCs w:val="28"/>
        </w:rPr>
        <w:t xml:space="preserve"> </w:t>
      </w:r>
      <w:r>
        <w:rPr>
          <w:sz w:val="28"/>
          <w:szCs w:val="28"/>
        </w:rPr>
        <w:t>антимикробных препаратов и антисептиков</w:t>
      </w:r>
      <w:r w:rsidRPr="009520AA">
        <w:rPr>
          <w:sz w:val="28"/>
          <w:szCs w:val="28"/>
        </w:rPr>
        <w:t xml:space="preserve">. В связи с </w:t>
      </w:r>
      <w:r>
        <w:rPr>
          <w:sz w:val="28"/>
          <w:szCs w:val="28"/>
        </w:rPr>
        <w:t>этим</w:t>
      </w:r>
      <w:r w:rsidRPr="009520AA">
        <w:rPr>
          <w:sz w:val="28"/>
          <w:szCs w:val="28"/>
        </w:rPr>
        <w:t xml:space="preserve"> возникает необходимость в разработке научно</w:t>
      </w:r>
      <w:r>
        <w:rPr>
          <w:sz w:val="28"/>
          <w:szCs w:val="28"/>
        </w:rPr>
        <w:t xml:space="preserve">-обоснованных рекомендаций для врачей-стоматологов с учетом современных данных клинической фармакологии по рациональной фармакотерапии </w:t>
      </w:r>
      <w:r w:rsidRPr="009520AA">
        <w:rPr>
          <w:sz w:val="28"/>
          <w:szCs w:val="28"/>
        </w:rPr>
        <w:t>воспал</w:t>
      </w:r>
      <w:r>
        <w:rPr>
          <w:sz w:val="28"/>
          <w:szCs w:val="28"/>
        </w:rPr>
        <w:t>ительных заболеваний пародонта.</w:t>
      </w:r>
    </w:p>
    <w:p w:rsidR="00254EE8" w:rsidRPr="00105149" w:rsidRDefault="00254EE8" w:rsidP="007735B7">
      <w:pPr>
        <w:ind w:firstLine="709"/>
        <w:contextualSpacing/>
        <w:jc w:val="both"/>
        <w:rPr>
          <w:sz w:val="28"/>
          <w:szCs w:val="28"/>
        </w:rPr>
      </w:pPr>
      <w:r>
        <w:rPr>
          <w:b/>
          <w:sz w:val="28"/>
        </w:rPr>
        <w:t>Четвертая</w:t>
      </w:r>
      <w:r w:rsidRPr="00E30D58">
        <w:rPr>
          <w:b/>
          <w:sz w:val="28"/>
        </w:rPr>
        <w:t xml:space="preserve"> </w:t>
      </w:r>
      <w:r>
        <w:rPr>
          <w:b/>
          <w:sz w:val="28"/>
        </w:rPr>
        <w:t>глава</w:t>
      </w:r>
      <w:r w:rsidRPr="00E30D58">
        <w:rPr>
          <w:b/>
          <w:sz w:val="28"/>
        </w:rPr>
        <w:t xml:space="preserve"> «</w:t>
      </w:r>
      <w:r>
        <w:rPr>
          <w:b/>
          <w:sz w:val="28"/>
          <w:szCs w:val="28"/>
        </w:rPr>
        <w:t>А</w:t>
      </w:r>
      <w:r w:rsidRPr="00101FB3">
        <w:rPr>
          <w:b/>
          <w:sz w:val="28"/>
          <w:szCs w:val="28"/>
        </w:rPr>
        <w:t xml:space="preserve">нализ эффективности различных </w:t>
      </w:r>
      <w:r>
        <w:rPr>
          <w:b/>
          <w:sz w:val="28"/>
          <w:szCs w:val="28"/>
        </w:rPr>
        <w:t xml:space="preserve">методов </w:t>
      </w:r>
      <w:r w:rsidRPr="00101FB3">
        <w:rPr>
          <w:b/>
          <w:sz w:val="28"/>
          <w:szCs w:val="28"/>
        </w:rPr>
        <w:t>лечения</w:t>
      </w:r>
      <w:r>
        <w:rPr>
          <w:b/>
          <w:sz w:val="28"/>
          <w:szCs w:val="28"/>
        </w:rPr>
        <w:t xml:space="preserve"> </w:t>
      </w:r>
      <w:r w:rsidRPr="00101FB3">
        <w:rPr>
          <w:b/>
          <w:sz w:val="28"/>
          <w:szCs w:val="28"/>
        </w:rPr>
        <w:t>хронического генерализованного</w:t>
      </w:r>
      <w:r>
        <w:rPr>
          <w:b/>
          <w:sz w:val="28"/>
          <w:szCs w:val="28"/>
        </w:rPr>
        <w:t xml:space="preserve"> </w:t>
      </w:r>
      <w:r w:rsidRPr="00101FB3">
        <w:rPr>
          <w:b/>
          <w:sz w:val="28"/>
          <w:szCs w:val="28"/>
        </w:rPr>
        <w:t>пародонтита средней степени тяжести</w:t>
      </w:r>
      <w:r>
        <w:rPr>
          <w:b/>
          <w:sz w:val="28"/>
          <w:szCs w:val="28"/>
        </w:rPr>
        <w:t>»</w:t>
      </w:r>
    </w:p>
    <w:p w:rsidR="00254EE8" w:rsidRDefault="00254EE8" w:rsidP="007735B7">
      <w:pPr>
        <w:ind w:firstLine="709"/>
        <w:contextualSpacing/>
        <w:jc w:val="both"/>
        <w:rPr>
          <w:sz w:val="28"/>
          <w:szCs w:val="28"/>
        </w:rPr>
      </w:pPr>
      <w:r>
        <w:rPr>
          <w:sz w:val="28"/>
          <w:szCs w:val="28"/>
        </w:rPr>
        <w:t>Был проведен</w:t>
      </w:r>
      <w:r w:rsidRPr="00137BB6">
        <w:rPr>
          <w:sz w:val="28"/>
          <w:szCs w:val="28"/>
        </w:rPr>
        <w:t xml:space="preserve"> анализ </w:t>
      </w:r>
      <w:r>
        <w:rPr>
          <w:sz w:val="28"/>
          <w:szCs w:val="28"/>
        </w:rPr>
        <w:t>исходов различных методов антимикробной терапии в комплексном лечении</w:t>
      </w:r>
      <w:r w:rsidRPr="00020878">
        <w:rPr>
          <w:sz w:val="28"/>
          <w:szCs w:val="28"/>
        </w:rPr>
        <w:t xml:space="preserve"> </w:t>
      </w:r>
      <w:r w:rsidRPr="00137BB6">
        <w:rPr>
          <w:sz w:val="28"/>
          <w:szCs w:val="28"/>
        </w:rPr>
        <w:t xml:space="preserve">хронического генерализованного пародонтита </w:t>
      </w:r>
      <w:r w:rsidRPr="00137BB6">
        <w:rPr>
          <w:sz w:val="28"/>
          <w:szCs w:val="28"/>
        </w:rPr>
        <w:lastRenderedPageBreak/>
        <w:t>средней степени тяжести</w:t>
      </w:r>
      <w:r>
        <w:rPr>
          <w:sz w:val="28"/>
          <w:szCs w:val="28"/>
        </w:rPr>
        <w:t xml:space="preserve"> среди 168</w:t>
      </w:r>
      <w:r w:rsidRPr="00137BB6">
        <w:rPr>
          <w:sz w:val="28"/>
          <w:szCs w:val="28"/>
        </w:rPr>
        <w:t xml:space="preserve"> пациентов</w:t>
      </w:r>
      <w:r>
        <w:rPr>
          <w:sz w:val="28"/>
          <w:szCs w:val="28"/>
        </w:rPr>
        <w:t xml:space="preserve">. </w:t>
      </w:r>
      <w:r w:rsidRPr="00137BB6">
        <w:rPr>
          <w:sz w:val="28"/>
          <w:szCs w:val="28"/>
        </w:rPr>
        <w:t>Все</w:t>
      </w:r>
      <w:r>
        <w:rPr>
          <w:sz w:val="28"/>
          <w:szCs w:val="28"/>
        </w:rPr>
        <w:t xml:space="preserve"> вошедшие в исследование пациенты </w:t>
      </w:r>
      <w:r w:rsidRPr="00137BB6">
        <w:rPr>
          <w:sz w:val="28"/>
          <w:szCs w:val="28"/>
        </w:rPr>
        <w:t>были разделены на 4 группы, в зависимости от вида лечен</w:t>
      </w:r>
      <w:r>
        <w:rPr>
          <w:sz w:val="28"/>
          <w:szCs w:val="28"/>
        </w:rPr>
        <w:t>ия.</w:t>
      </w:r>
    </w:p>
    <w:p w:rsidR="00254EE8" w:rsidRDefault="00254EE8" w:rsidP="004106FA">
      <w:pPr>
        <w:ind w:firstLine="708"/>
        <w:jc w:val="both"/>
        <w:rPr>
          <w:sz w:val="28"/>
          <w:szCs w:val="28"/>
        </w:rPr>
      </w:pPr>
      <w:r w:rsidRPr="005101CF">
        <w:rPr>
          <w:i/>
          <w:sz w:val="28"/>
          <w:szCs w:val="28"/>
        </w:rPr>
        <w:t>Оценка эффективности антимикробной терапии 0,2% раствором хлоргексидина биглюконата.</w:t>
      </w:r>
      <w:r>
        <w:rPr>
          <w:b/>
          <w:sz w:val="28"/>
          <w:szCs w:val="28"/>
        </w:rPr>
        <w:t xml:space="preserve"> </w:t>
      </w:r>
      <w:r>
        <w:rPr>
          <w:sz w:val="28"/>
          <w:szCs w:val="28"/>
        </w:rPr>
        <w:t>В</w:t>
      </w:r>
      <w:r w:rsidRPr="00137BB6">
        <w:rPr>
          <w:sz w:val="28"/>
          <w:szCs w:val="28"/>
        </w:rPr>
        <w:t xml:space="preserve"> первой группе </w:t>
      </w:r>
      <w:r w:rsidRPr="00E13FDB">
        <w:rPr>
          <w:sz w:val="28"/>
          <w:szCs w:val="28"/>
        </w:rPr>
        <w:t>пациентов у 43 пациентов использовали традиционную антимикробную терапию 0,2% водным раствором хлоргексидина биглюконата, применяемого в виде ротовых ванночек продолжительностью 1 минута, 3 раза в день в течение 10 суток.</w:t>
      </w:r>
    </w:p>
    <w:p w:rsidR="00254EE8" w:rsidRDefault="00254EE8" w:rsidP="004106FA">
      <w:pPr>
        <w:ind w:firstLine="708"/>
        <w:jc w:val="both"/>
        <w:rPr>
          <w:sz w:val="28"/>
          <w:szCs w:val="28"/>
        </w:rPr>
      </w:pPr>
      <w:r>
        <w:rPr>
          <w:sz w:val="28"/>
          <w:szCs w:val="28"/>
        </w:rPr>
        <w:t>До начала лечения, в конце проведенного лечения 10 сутки лечения и спустя месяц после проведенного лечения у всех пациентов проводилась оценка клинической картины (табл. 1).</w:t>
      </w:r>
    </w:p>
    <w:p w:rsidR="00254EE8" w:rsidRPr="00F5196C" w:rsidRDefault="00254EE8" w:rsidP="004106FA">
      <w:pPr>
        <w:jc w:val="both"/>
        <w:rPr>
          <w:sz w:val="16"/>
          <w:szCs w:val="16"/>
        </w:rPr>
      </w:pPr>
    </w:p>
    <w:p w:rsidR="00254EE8" w:rsidRPr="005101CF" w:rsidRDefault="00254EE8" w:rsidP="00920F6F">
      <w:pPr>
        <w:ind w:firstLine="284"/>
        <w:jc w:val="both"/>
        <w:rPr>
          <w:b/>
          <w:bCs/>
        </w:rPr>
      </w:pPr>
      <w:r w:rsidRPr="005101CF">
        <w:rPr>
          <w:b/>
          <w:bCs/>
        </w:rPr>
        <w:t xml:space="preserve">Таблица 1 – Динамика </w:t>
      </w:r>
      <w:r>
        <w:rPr>
          <w:b/>
          <w:bCs/>
        </w:rPr>
        <w:t xml:space="preserve">показателей </w:t>
      </w:r>
      <w:r w:rsidRPr="005101CF">
        <w:rPr>
          <w:b/>
          <w:bCs/>
        </w:rPr>
        <w:t>индексной оценки пациентов I группы</w:t>
      </w:r>
    </w:p>
    <w:p w:rsidR="00254EE8" w:rsidRPr="005101CF" w:rsidRDefault="00254EE8" w:rsidP="004106FA">
      <w:pPr>
        <w:jc w:val="both"/>
        <w:rPr>
          <w:bCs/>
          <w:sz w:val="16"/>
          <w:szCs w:val="16"/>
        </w:rPr>
      </w:pPr>
    </w:p>
    <w:tbl>
      <w:tblPr>
        <w:tblW w:w="8976"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6"/>
        <w:gridCol w:w="1920"/>
        <w:gridCol w:w="2400"/>
        <w:gridCol w:w="2520"/>
      </w:tblGrid>
      <w:tr w:rsidR="00254EE8" w:rsidRPr="003E050C" w:rsidTr="00E301ED">
        <w:trPr>
          <w:trHeight w:val="255"/>
          <w:jc w:val="center"/>
        </w:trPr>
        <w:tc>
          <w:tcPr>
            <w:tcW w:w="2136" w:type="dxa"/>
            <w:shd w:val="clear" w:color="auto" w:fill="auto"/>
            <w:noWrap/>
            <w:vAlign w:val="center"/>
          </w:tcPr>
          <w:p w:rsidR="00254EE8" w:rsidRPr="003E050C" w:rsidRDefault="00254EE8" w:rsidP="004106FA">
            <w:pPr>
              <w:jc w:val="center"/>
              <w:rPr>
                <w:bCs/>
              </w:rPr>
            </w:pPr>
            <w:r w:rsidRPr="003E050C">
              <w:rPr>
                <w:bCs/>
              </w:rPr>
              <w:t>Оценочные индексы</w:t>
            </w:r>
          </w:p>
        </w:tc>
        <w:tc>
          <w:tcPr>
            <w:tcW w:w="1920" w:type="dxa"/>
            <w:shd w:val="clear" w:color="auto" w:fill="auto"/>
            <w:noWrap/>
            <w:vAlign w:val="center"/>
          </w:tcPr>
          <w:p w:rsidR="00254EE8" w:rsidRPr="003E050C" w:rsidRDefault="00254EE8" w:rsidP="004106FA">
            <w:pPr>
              <w:jc w:val="center"/>
              <w:rPr>
                <w:bCs/>
              </w:rPr>
            </w:pPr>
            <w:r w:rsidRPr="003E050C">
              <w:rPr>
                <w:bCs/>
              </w:rPr>
              <w:t>До лечения</w:t>
            </w:r>
          </w:p>
          <w:p w:rsidR="00254EE8" w:rsidRPr="003E050C" w:rsidRDefault="00254EE8" w:rsidP="004106FA">
            <w:pPr>
              <w:jc w:val="center"/>
              <w:rPr>
                <w:bCs/>
                <w:lang w:val="en-US"/>
              </w:rPr>
            </w:pPr>
            <w:r w:rsidRPr="003E050C">
              <w:rPr>
                <w:bCs/>
                <w:lang w:val="en-US"/>
              </w:rPr>
              <w:t>(M</w:t>
            </w:r>
            <w:r w:rsidRPr="003E050C">
              <w:rPr>
                <w:bCs/>
              </w:rPr>
              <w:t>±</w:t>
            </w:r>
            <w:r w:rsidRPr="003E050C">
              <w:rPr>
                <w:bCs/>
                <w:lang w:val="en-US"/>
              </w:rPr>
              <w:t>m)</w:t>
            </w:r>
          </w:p>
        </w:tc>
        <w:tc>
          <w:tcPr>
            <w:tcW w:w="2400" w:type="dxa"/>
            <w:shd w:val="clear" w:color="auto" w:fill="auto"/>
            <w:noWrap/>
            <w:vAlign w:val="center"/>
          </w:tcPr>
          <w:p w:rsidR="00254EE8" w:rsidRPr="003E050C" w:rsidRDefault="00254EE8" w:rsidP="004106FA">
            <w:pPr>
              <w:jc w:val="center"/>
              <w:rPr>
                <w:bCs/>
              </w:rPr>
            </w:pPr>
            <w:r w:rsidRPr="003E050C">
              <w:rPr>
                <w:bCs/>
              </w:rPr>
              <w:t>На 10 сутки лечения</w:t>
            </w:r>
          </w:p>
          <w:p w:rsidR="00254EE8" w:rsidRPr="003E050C" w:rsidRDefault="00254EE8" w:rsidP="004106FA">
            <w:pPr>
              <w:jc w:val="center"/>
              <w:rPr>
                <w:bCs/>
              </w:rPr>
            </w:pPr>
            <w:r w:rsidRPr="003E050C">
              <w:rPr>
                <w:bCs/>
              </w:rPr>
              <w:t>(</w:t>
            </w:r>
            <w:r w:rsidRPr="003E050C">
              <w:rPr>
                <w:bCs/>
                <w:lang w:val="en-US"/>
              </w:rPr>
              <w:t>M</w:t>
            </w:r>
            <w:r w:rsidRPr="003E050C">
              <w:rPr>
                <w:bCs/>
              </w:rPr>
              <w:t>±</w:t>
            </w:r>
            <w:r w:rsidRPr="003E050C">
              <w:rPr>
                <w:bCs/>
                <w:lang w:val="en-US"/>
              </w:rPr>
              <w:t>m</w:t>
            </w:r>
            <w:r w:rsidRPr="003E050C">
              <w:rPr>
                <w:bCs/>
              </w:rPr>
              <w:t>)</w:t>
            </w:r>
          </w:p>
        </w:tc>
        <w:tc>
          <w:tcPr>
            <w:tcW w:w="2520" w:type="dxa"/>
            <w:shd w:val="clear" w:color="auto" w:fill="auto"/>
            <w:noWrap/>
            <w:vAlign w:val="center"/>
          </w:tcPr>
          <w:p w:rsidR="00254EE8" w:rsidRDefault="00254EE8" w:rsidP="004106FA">
            <w:pPr>
              <w:jc w:val="center"/>
              <w:rPr>
                <w:bCs/>
              </w:rPr>
            </w:pPr>
            <w:r w:rsidRPr="003E050C">
              <w:rPr>
                <w:bCs/>
              </w:rPr>
              <w:t>Через месяц после</w:t>
            </w:r>
          </w:p>
          <w:p w:rsidR="00254EE8" w:rsidRPr="003E050C" w:rsidRDefault="00254EE8" w:rsidP="004106FA">
            <w:pPr>
              <w:jc w:val="center"/>
              <w:rPr>
                <w:bCs/>
              </w:rPr>
            </w:pPr>
            <w:r>
              <w:rPr>
                <w:bCs/>
              </w:rPr>
              <w:t>л</w:t>
            </w:r>
            <w:r w:rsidRPr="003E050C">
              <w:rPr>
                <w:bCs/>
              </w:rPr>
              <w:t>ечения</w:t>
            </w:r>
            <w:r>
              <w:rPr>
                <w:bCs/>
              </w:rPr>
              <w:t xml:space="preserve"> </w:t>
            </w:r>
            <w:r w:rsidRPr="003E050C">
              <w:rPr>
                <w:bCs/>
              </w:rPr>
              <w:t>(</w:t>
            </w:r>
            <w:r w:rsidRPr="003E050C">
              <w:rPr>
                <w:bCs/>
                <w:lang w:val="en-US"/>
              </w:rPr>
              <w:t>M</w:t>
            </w:r>
            <w:r w:rsidRPr="003E050C">
              <w:rPr>
                <w:bCs/>
              </w:rPr>
              <w:t>±</w:t>
            </w:r>
            <w:r w:rsidRPr="003E050C">
              <w:rPr>
                <w:bCs/>
                <w:lang w:val="en-US"/>
              </w:rPr>
              <w:t>m</w:t>
            </w:r>
            <w:r w:rsidRPr="003E050C">
              <w:rPr>
                <w:bCs/>
              </w:rPr>
              <w:t>)</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Грина-Вермильона</w:t>
            </w:r>
          </w:p>
        </w:tc>
        <w:tc>
          <w:tcPr>
            <w:tcW w:w="1920" w:type="dxa"/>
            <w:shd w:val="clear" w:color="auto" w:fill="auto"/>
            <w:noWrap/>
            <w:vAlign w:val="center"/>
          </w:tcPr>
          <w:p w:rsidR="00254EE8" w:rsidRPr="003E050C" w:rsidRDefault="00254EE8" w:rsidP="004106FA">
            <w:pPr>
              <w:jc w:val="center"/>
            </w:pPr>
            <w:r w:rsidRPr="003E050C">
              <w:t>2,6±0,3</w:t>
            </w:r>
          </w:p>
        </w:tc>
        <w:tc>
          <w:tcPr>
            <w:tcW w:w="2400" w:type="dxa"/>
            <w:shd w:val="clear" w:color="auto" w:fill="auto"/>
            <w:noWrap/>
            <w:vAlign w:val="center"/>
          </w:tcPr>
          <w:p w:rsidR="00254EE8" w:rsidRPr="003E050C" w:rsidRDefault="00254EE8" w:rsidP="004106FA">
            <w:pPr>
              <w:jc w:val="center"/>
            </w:pPr>
            <w:r w:rsidRPr="003E050C">
              <w:t>0,4±0,3</w:t>
            </w:r>
          </w:p>
          <w:p w:rsidR="00254EE8" w:rsidRPr="003E050C" w:rsidRDefault="00254EE8" w:rsidP="004106FA">
            <w:pPr>
              <w:jc w:val="center"/>
            </w:pPr>
            <w:r w:rsidRPr="003E050C">
              <w:t>(р</w:t>
            </w:r>
            <w:r w:rsidRPr="003E050C">
              <w:rPr>
                <w:vertAlign w:val="subscript"/>
              </w:rPr>
              <w:t>1</w:t>
            </w:r>
            <w:r w:rsidRPr="003E050C">
              <w:t>&lt;0,001)</w:t>
            </w:r>
          </w:p>
        </w:tc>
        <w:tc>
          <w:tcPr>
            <w:tcW w:w="2520" w:type="dxa"/>
            <w:shd w:val="clear" w:color="auto" w:fill="auto"/>
            <w:noWrap/>
            <w:vAlign w:val="center"/>
          </w:tcPr>
          <w:p w:rsidR="00254EE8" w:rsidRPr="003E050C" w:rsidRDefault="00254EE8" w:rsidP="004106FA">
            <w:pPr>
              <w:jc w:val="center"/>
            </w:pPr>
            <w:r w:rsidRPr="003E050C">
              <w:t>0,8±0,3</w:t>
            </w:r>
          </w:p>
          <w:p w:rsidR="00254EE8" w:rsidRPr="003E050C" w:rsidRDefault="00254EE8" w:rsidP="004106FA">
            <w:pPr>
              <w:jc w:val="center"/>
            </w:pPr>
            <w:r w:rsidRPr="003E050C">
              <w:t>(р</w:t>
            </w:r>
            <w:r w:rsidRPr="003E050C">
              <w:rPr>
                <w:vertAlign w:val="subscript"/>
              </w:rPr>
              <w:t>2</w:t>
            </w:r>
            <w:r w:rsidRPr="003E050C">
              <w:t>&lt;0,001)</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Рассела</w:t>
            </w:r>
          </w:p>
        </w:tc>
        <w:tc>
          <w:tcPr>
            <w:tcW w:w="1920" w:type="dxa"/>
            <w:shd w:val="clear" w:color="auto" w:fill="auto"/>
            <w:noWrap/>
            <w:vAlign w:val="center"/>
          </w:tcPr>
          <w:p w:rsidR="00254EE8" w:rsidRPr="003E050C" w:rsidRDefault="00254EE8" w:rsidP="004106FA">
            <w:pPr>
              <w:jc w:val="center"/>
            </w:pPr>
            <w:r w:rsidRPr="003E050C">
              <w:t>3,8±0,3</w:t>
            </w:r>
          </w:p>
        </w:tc>
        <w:tc>
          <w:tcPr>
            <w:tcW w:w="2400" w:type="dxa"/>
            <w:shd w:val="clear" w:color="auto" w:fill="auto"/>
            <w:noWrap/>
            <w:vAlign w:val="center"/>
          </w:tcPr>
          <w:p w:rsidR="00254EE8" w:rsidRPr="003E050C" w:rsidRDefault="00254EE8" w:rsidP="004106FA">
            <w:pPr>
              <w:jc w:val="center"/>
            </w:pPr>
            <w:r w:rsidRPr="003E050C">
              <w:t>2,3±0,3</w:t>
            </w:r>
          </w:p>
          <w:p w:rsidR="00254EE8" w:rsidRPr="003E050C" w:rsidRDefault="00254EE8" w:rsidP="004106FA">
            <w:pPr>
              <w:jc w:val="center"/>
            </w:pPr>
            <w:r w:rsidRPr="003E050C">
              <w:t>(р</w:t>
            </w:r>
            <w:r w:rsidRPr="003E050C">
              <w:rPr>
                <w:vertAlign w:val="subscript"/>
              </w:rPr>
              <w:t>1</w:t>
            </w:r>
            <w:r w:rsidRPr="003E050C">
              <w:t>&lt;0,0</w:t>
            </w:r>
            <w:r>
              <w:t>0</w:t>
            </w:r>
            <w:r w:rsidRPr="003E050C">
              <w:t>1)</w:t>
            </w:r>
          </w:p>
        </w:tc>
        <w:tc>
          <w:tcPr>
            <w:tcW w:w="2520" w:type="dxa"/>
            <w:shd w:val="clear" w:color="auto" w:fill="auto"/>
            <w:noWrap/>
            <w:vAlign w:val="center"/>
          </w:tcPr>
          <w:p w:rsidR="00254EE8" w:rsidRPr="003E050C" w:rsidRDefault="00254EE8" w:rsidP="004106FA">
            <w:pPr>
              <w:jc w:val="center"/>
            </w:pPr>
            <w:r w:rsidRPr="003E050C">
              <w:t>3,1±0,2</w:t>
            </w:r>
          </w:p>
          <w:p w:rsidR="00254EE8" w:rsidRPr="003E050C" w:rsidRDefault="00254EE8" w:rsidP="004106FA">
            <w:pPr>
              <w:jc w:val="center"/>
            </w:pPr>
            <w:r w:rsidRPr="003E050C">
              <w:t>(р</w:t>
            </w:r>
            <w:r w:rsidRPr="003E050C">
              <w:rPr>
                <w:vertAlign w:val="subscript"/>
              </w:rPr>
              <w:t>2</w:t>
            </w:r>
            <w:r w:rsidRPr="003E050C">
              <w:t>&lt;0,0</w:t>
            </w:r>
            <w:r>
              <w:t>0</w:t>
            </w:r>
            <w:r w:rsidRPr="003E050C">
              <w:t>5)</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Мюлемана</w:t>
            </w:r>
          </w:p>
        </w:tc>
        <w:tc>
          <w:tcPr>
            <w:tcW w:w="1920" w:type="dxa"/>
            <w:shd w:val="clear" w:color="auto" w:fill="auto"/>
            <w:noWrap/>
            <w:vAlign w:val="center"/>
          </w:tcPr>
          <w:p w:rsidR="00254EE8" w:rsidRPr="003E050C" w:rsidRDefault="00254EE8" w:rsidP="004106FA">
            <w:pPr>
              <w:jc w:val="center"/>
            </w:pPr>
            <w:r w:rsidRPr="003E050C">
              <w:t>2,1±0,2</w:t>
            </w:r>
          </w:p>
        </w:tc>
        <w:tc>
          <w:tcPr>
            <w:tcW w:w="2400" w:type="dxa"/>
            <w:shd w:val="clear" w:color="auto" w:fill="auto"/>
            <w:noWrap/>
            <w:vAlign w:val="center"/>
          </w:tcPr>
          <w:p w:rsidR="00254EE8" w:rsidRPr="003E050C" w:rsidRDefault="00254EE8" w:rsidP="004106FA">
            <w:pPr>
              <w:jc w:val="center"/>
            </w:pPr>
            <w:r w:rsidRPr="003E050C">
              <w:t>0,2±0,2</w:t>
            </w:r>
          </w:p>
          <w:p w:rsidR="00254EE8" w:rsidRPr="003E050C" w:rsidRDefault="00254EE8" w:rsidP="004106FA">
            <w:pPr>
              <w:jc w:val="center"/>
            </w:pPr>
            <w:r w:rsidRPr="003E050C">
              <w:t>(р</w:t>
            </w:r>
            <w:r w:rsidRPr="003E050C">
              <w:rPr>
                <w:vertAlign w:val="subscript"/>
              </w:rPr>
              <w:t>1</w:t>
            </w:r>
            <w:r w:rsidRPr="003E050C">
              <w:t>&lt;0,001)</w:t>
            </w:r>
          </w:p>
        </w:tc>
        <w:tc>
          <w:tcPr>
            <w:tcW w:w="2520" w:type="dxa"/>
            <w:shd w:val="clear" w:color="auto" w:fill="auto"/>
            <w:noWrap/>
            <w:vAlign w:val="center"/>
          </w:tcPr>
          <w:p w:rsidR="00254EE8" w:rsidRPr="003E050C" w:rsidRDefault="00254EE8" w:rsidP="004106FA">
            <w:pPr>
              <w:jc w:val="center"/>
            </w:pPr>
            <w:r w:rsidRPr="003E050C">
              <w:t>0,5±0,3</w:t>
            </w:r>
          </w:p>
          <w:p w:rsidR="00254EE8" w:rsidRPr="003E050C" w:rsidRDefault="00254EE8" w:rsidP="004106FA">
            <w:pPr>
              <w:jc w:val="center"/>
            </w:pPr>
            <w:r w:rsidRPr="003E050C">
              <w:t>(р</w:t>
            </w:r>
            <w:r w:rsidRPr="003E050C">
              <w:rPr>
                <w:vertAlign w:val="subscript"/>
              </w:rPr>
              <w:t>2</w:t>
            </w:r>
            <w:r w:rsidRPr="003E050C">
              <w:t>&lt;0,001)</w:t>
            </w:r>
          </w:p>
        </w:tc>
      </w:tr>
    </w:tbl>
    <w:p w:rsidR="00254EE8" w:rsidRPr="005101CF" w:rsidRDefault="00254EE8" w:rsidP="004106FA">
      <w:pPr>
        <w:jc w:val="both"/>
        <w:rPr>
          <w:b/>
          <w:sz w:val="16"/>
          <w:szCs w:val="16"/>
        </w:rPr>
      </w:pPr>
    </w:p>
    <w:p w:rsidR="00254EE8" w:rsidRPr="003E050C" w:rsidRDefault="00254EE8" w:rsidP="004106FA">
      <w:pPr>
        <w:jc w:val="both"/>
      </w:pPr>
      <w:r w:rsidRPr="003E050C">
        <w:rPr>
          <w:b/>
        </w:rPr>
        <w:t>Примечание</w:t>
      </w:r>
      <w:r w:rsidRPr="003E050C">
        <w:t>: р</w:t>
      </w:r>
      <w:r w:rsidRPr="003E050C">
        <w:rPr>
          <w:vertAlign w:val="subscript"/>
        </w:rPr>
        <w:t>1</w:t>
      </w:r>
      <w:r w:rsidRPr="003E050C">
        <w:t xml:space="preserve">, </w:t>
      </w:r>
      <w:r w:rsidRPr="003E050C">
        <w:rPr>
          <w:lang w:val="en-US"/>
        </w:rPr>
        <w:t>p</w:t>
      </w:r>
      <w:r w:rsidRPr="003E050C">
        <w:rPr>
          <w:vertAlign w:val="subscript"/>
        </w:rPr>
        <w:t>2</w:t>
      </w:r>
      <w:r w:rsidRPr="003E050C">
        <w:t xml:space="preserve"> – достоверность различий по отношению к показателям до лечения</w:t>
      </w:r>
    </w:p>
    <w:p w:rsidR="00254EE8" w:rsidRPr="00F5196C" w:rsidRDefault="00254EE8" w:rsidP="004106FA">
      <w:pPr>
        <w:jc w:val="both"/>
        <w:rPr>
          <w:sz w:val="16"/>
          <w:szCs w:val="16"/>
        </w:rPr>
      </w:pPr>
    </w:p>
    <w:p w:rsidR="00254EE8" w:rsidRDefault="00254EE8" w:rsidP="004106FA">
      <w:pPr>
        <w:ind w:firstLine="708"/>
        <w:jc w:val="both"/>
        <w:rPr>
          <w:sz w:val="28"/>
          <w:szCs w:val="28"/>
        </w:rPr>
      </w:pPr>
      <w:r>
        <w:rPr>
          <w:sz w:val="28"/>
          <w:szCs w:val="28"/>
        </w:rPr>
        <w:t xml:space="preserve">На </w:t>
      </w:r>
      <w:r w:rsidRPr="00137BB6">
        <w:rPr>
          <w:sz w:val="28"/>
          <w:szCs w:val="28"/>
        </w:rPr>
        <w:t>первые сутки от начала лечения все</w:t>
      </w:r>
      <w:r>
        <w:rPr>
          <w:sz w:val="28"/>
          <w:szCs w:val="28"/>
        </w:rPr>
        <w:t xml:space="preserve"> пациенты</w:t>
      </w:r>
      <w:r w:rsidRPr="00137BB6">
        <w:rPr>
          <w:sz w:val="28"/>
          <w:szCs w:val="28"/>
        </w:rPr>
        <w:t xml:space="preserve"> отмечали незначительное улучшение</w:t>
      </w:r>
      <w:r>
        <w:rPr>
          <w:sz w:val="28"/>
          <w:szCs w:val="28"/>
        </w:rPr>
        <w:t xml:space="preserve"> состояния</w:t>
      </w:r>
      <w:r w:rsidRPr="00137BB6">
        <w:rPr>
          <w:sz w:val="28"/>
          <w:szCs w:val="28"/>
        </w:rPr>
        <w:t>.</w:t>
      </w:r>
      <w:r>
        <w:rPr>
          <w:sz w:val="28"/>
          <w:szCs w:val="28"/>
        </w:rPr>
        <w:t xml:space="preserve"> Клинические признаки пародонтита (гиперемия десны, отек десны и экссудат) </w:t>
      </w:r>
      <w:r w:rsidRPr="00137BB6">
        <w:rPr>
          <w:sz w:val="28"/>
          <w:szCs w:val="28"/>
        </w:rPr>
        <w:t>также измен</w:t>
      </w:r>
      <w:r>
        <w:rPr>
          <w:sz w:val="28"/>
          <w:szCs w:val="28"/>
        </w:rPr>
        <w:t>я</w:t>
      </w:r>
      <w:r w:rsidRPr="00137BB6">
        <w:rPr>
          <w:sz w:val="28"/>
          <w:szCs w:val="28"/>
        </w:rPr>
        <w:t>л</w:t>
      </w:r>
      <w:r>
        <w:rPr>
          <w:sz w:val="28"/>
          <w:szCs w:val="28"/>
        </w:rPr>
        <w:t>ись</w:t>
      </w:r>
      <w:r w:rsidRPr="00137BB6">
        <w:rPr>
          <w:sz w:val="28"/>
          <w:szCs w:val="28"/>
        </w:rPr>
        <w:t xml:space="preserve"> </w:t>
      </w:r>
      <w:r>
        <w:rPr>
          <w:sz w:val="28"/>
          <w:szCs w:val="28"/>
        </w:rPr>
        <w:t xml:space="preserve">слабо. </w:t>
      </w:r>
      <w:r w:rsidRPr="00137BB6">
        <w:rPr>
          <w:sz w:val="28"/>
          <w:szCs w:val="28"/>
        </w:rPr>
        <w:t xml:space="preserve">На пятые сутки лечения все </w:t>
      </w:r>
      <w:r>
        <w:rPr>
          <w:sz w:val="28"/>
          <w:szCs w:val="28"/>
        </w:rPr>
        <w:t>пациенты</w:t>
      </w:r>
      <w:r w:rsidRPr="00137BB6">
        <w:rPr>
          <w:sz w:val="28"/>
          <w:szCs w:val="28"/>
        </w:rPr>
        <w:t xml:space="preserve"> отмечали уменьшение запаха из полости рта и исчезновение дискомфорта в деснах. При объективном обследовании пациентов </w:t>
      </w:r>
      <w:r>
        <w:rPr>
          <w:sz w:val="28"/>
          <w:szCs w:val="28"/>
        </w:rPr>
        <w:t xml:space="preserve">было </w:t>
      </w:r>
      <w:r w:rsidRPr="00137BB6">
        <w:rPr>
          <w:sz w:val="28"/>
          <w:szCs w:val="28"/>
        </w:rPr>
        <w:t>выявле</w:t>
      </w:r>
      <w:r>
        <w:rPr>
          <w:sz w:val="28"/>
          <w:szCs w:val="28"/>
        </w:rPr>
        <w:t>но</w:t>
      </w:r>
      <w:r w:rsidRPr="00137BB6">
        <w:rPr>
          <w:sz w:val="28"/>
          <w:szCs w:val="28"/>
        </w:rPr>
        <w:t xml:space="preserve"> уменьшение признаков воспаления, присутствовавших до начала лечения.</w:t>
      </w:r>
      <w:r>
        <w:rPr>
          <w:sz w:val="28"/>
          <w:szCs w:val="28"/>
        </w:rPr>
        <w:t xml:space="preserve"> Г</w:t>
      </w:r>
      <w:r w:rsidRPr="00137BB6">
        <w:rPr>
          <w:sz w:val="28"/>
          <w:szCs w:val="28"/>
        </w:rPr>
        <w:t xml:space="preserve">нойный экссудат из пародонтальных карманов сохранялся </w:t>
      </w:r>
      <w:r>
        <w:rPr>
          <w:sz w:val="28"/>
          <w:szCs w:val="28"/>
        </w:rPr>
        <w:t>у</w:t>
      </w:r>
      <w:r w:rsidRPr="00137BB6">
        <w:rPr>
          <w:sz w:val="28"/>
          <w:szCs w:val="28"/>
        </w:rPr>
        <w:t xml:space="preserve"> </w:t>
      </w:r>
      <w:r>
        <w:rPr>
          <w:sz w:val="28"/>
          <w:szCs w:val="28"/>
        </w:rPr>
        <w:t>13</w:t>
      </w:r>
      <w:r w:rsidRPr="00137BB6">
        <w:rPr>
          <w:sz w:val="28"/>
          <w:szCs w:val="28"/>
        </w:rPr>
        <w:t xml:space="preserve"> пациентов. </w:t>
      </w:r>
      <w:r>
        <w:rPr>
          <w:sz w:val="28"/>
          <w:szCs w:val="28"/>
        </w:rPr>
        <w:t>При этом в</w:t>
      </w:r>
      <w:r w:rsidRPr="00137BB6">
        <w:rPr>
          <w:sz w:val="28"/>
          <w:szCs w:val="28"/>
        </w:rPr>
        <w:t xml:space="preserve"> процессе лечения</w:t>
      </w:r>
      <w:r>
        <w:rPr>
          <w:sz w:val="28"/>
          <w:szCs w:val="28"/>
        </w:rPr>
        <w:t xml:space="preserve"> было отмечено улучшение состояния тканей пародонта. На</w:t>
      </w:r>
      <w:r w:rsidRPr="00137BB6">
        <w:rPr>
          <w:sz w:val="28"/>
          <w:szCs w:val="28"/>
        </w:rPr>
        <w:t xml:space="preserve"> десяты</w:t>
      </w:r>
      <w:r>
        <w:rPr>
          <w:sz w:val="28"/>
          <w:szCs w:val="28"/>
        </w:rPr>
        <w:t>е</w:t>
      </w:r>
      <w:r w:rsidRPr="00137BB6">
        <w:rPr>
          <w:sz w:val="28"/>
          <w:szCs w:val="28"/>
        </w:rPr>
        <w:t xml:space="preserve"> сутк</w:t>
      </w:r>
      <w:r>
        <w:rPr>
          <w:sz w:val="28"/>
          <w:szCs w:val="28"/>
        </w:rPr>
        <w:t>и</w:t>
      </w:r>
      <w:r w:rsidRPr="00137BB6">
        <w:rPr>
          <w:sz w:val="28"/>
          <w:szCs w:val="28"/>
        </w:rPr>
        <w:t xml:space="preserve"> лечения пациенты отмечали</w:t>
      </w:r>
      <w:r>
        <w:rPr>
          <w:sz w:val="28"/>
          <w:szCs w:val="28"/>
        </w:rPr>
        <w:t xml:space="preserve"> полное</w:t>
      </w:r>
      <w:r w:rsidRPr="00137BB6">
        <w:rPr>
          <w:sz w:val="28"/>
          <w:szCs w:val="28"/>
        </w:rPr>
        <w:t xml:space="preserve"> исчезновение неприятного запаха из полости рта. </w:t>
      </w:r>
      <w:r>
        <w:rPr>
          <w:sz w:val="28"/>
          <w:szCs w:val="28"/>
        </w:rPr>
        <w:t>Однако п</w:t>
      </w:r>
      <w:r w:rsidRPr="00137BB6">
        <w:rPr>
          <w:sz w:val="28"/>
          <w:szCs w:val="28"/>
        </w:rPr>
        <w:t>ри клиническом обследовании</w:t>
      </w:r>
      <w:r>
        <w:rPr>
          <w:sz w:val="28"/>
          <w:szCs w:val="28"/>
        </w:rPr>
        <w:t xml:space="preserve"> у незначительной части пациентов</w:t>
      </w:r>
      <w:r w:rsidRPr="00137BB6">
        <w:rPr>
          <w:sz w:val="28"/>
          <w:szCs w:val="28"/>
        </w:rPr>
        <w:t xml:space="preserve"> выявлялось сохранение гиперемии</w:t>
      </w:r>
      <w:r>
        <w:rPr>
          <w:sz w:val="28"/>
          <w:szCs w:val="28"/>
        </w:rPr>
        <w:t xml:space="preserve"> и отека</w:t>
      </w:r>
      <w:r w:rsidRPr="00137BB6">
        <w:rPr>
          <w:sz w:val="28"/>
          <w:szCs w:val="28"/>
        </w:rPr>
        <w:t xml:space="preserve"> десны</w:t>
      </w:r>
      <w:r>
        <w:rPr>
          <w:sz w:val="28"/>
          <w:szCs w:val="28"/>
        </w:rPr>
        <w:t>, а также выделение</w:t>
      </w:r>
      <w:r w:rsidRPr="00137BB6">
        <w:rPr>
          <w:sz w:val="28"/>
          <w:szCs w:val="28"/>
        </w:rPr>
        <w:t xml:space="preserve"> гнойно</w:t>
      </w:r>
      <w:r>
        <w:rPr>
          <w:sz w:val="28"/>
          <w:szCs w:val="28"/>
        </w:rPr>
        <w:t>го</w:t>
      </w:r>
      <w:r w:rsidRPr="00137BB6">
        <w:rPr>
          <w:sz w:val="28"/>
          <w:szCs w:val="28"/>
        </w:rPr>
        <w:t xml:space="preserve"> экссуда</w:t>
      </w:r>
      <w:r>
        <w:rPr>
          <w:sz w:val="28"/>
          <w:szCs w:val="28"/>
        </w:rPr>
        <w:t>та</w:t>
      </w:r>
      <w:r w:rsidRPr="00137BB6">
        <w:rPr>
          <w:sz w:val="28"/>
          <w:szCs w:val="28"/>
        </w:rPr>
        <w:t xml:space="preserve"> из пародонтальных карманов.</w:t>
      </w:r>
      <w:r>
        <w:rPr>
          <w:sz w:val="28"/>
          <w:szCs w:val="28"/>
        </w:rPr>
        <w:t xml:space="preserve"> </w:t>
      </w:r>
      <w:r w:rsidRPr="00137BB6">
        <w:rPr>
          <w:sz w:val="28"/>
          <w:szCs w:val="28"/>
        </w:rPr>
        <w:t xml:space="preserve">Через 1 месяц после </w:t>
      </w:r>
      <w:r>
        <w:rPr>
          <w:sz w:val="28"/>
          <w:szCs w:val="28"/>
        </w:rPr>
        <w:t>проведенного</w:t>
      </w:r>
      <w:r w:rsidRPr="00137BB6">
        <w:rPr>
          <w:sz w:val="28"/>
          <w:szCs w:val="28"/>
        </w:rPr>
        <w:t xml:space="preserve"> курса </w:t>
      </w:r>
      <w:r>
        <w:rPr>
          <w:sz w:val="28"/>
          <w:szCs w:val="28"/>
        </w:rPr>
        <w:t>антимикробной</w:t>
      </w:r>
      <w:r w:rsidRPr="00137BB6">
        <w:rPr>
          <w:sz w:val="28"/>
          <w:szCs w:val="28"/>
        </w:rPr>
        <w:t xml:space="preserve"> терапии клиническая картина у пациентов первой группы изменилась в худшую сторон</w:t>
      </w:r>
      <w:r>
        <w:rPr>
          <w:sz w:val="28"/>
          <w:szCs w:val="28"/>
        </w:rPr>
        <w:t xml:space="preserve">у, все пациенты </w:t>
      </w:r>
      <w:r w:rsidRPr="00137BB6">
        <w:rPr>
          <w:sz w:val="28"/>
          <w:szCs w:val="28"/>
        </w:rPr>
        <w:t xml:space="preserve">отмечали </w:t>
      </w:r>
      <w:r>
        <w:rPr>
          <w:sz w:val="28"/>
          <w:szCs w:val="28"/>
        </w:rPr>
        <w:t xml:space="preserve">неприятный запах изо рта </w:t>
      </w:r>
      <w:r w:rsidRPr="00137BB6">
        <w:rPr>
          <w:sz w:val="28"/>
          <w:szCs w:val="28"/>
        </w:rPr>
        <w:t>и дискомфорт в деснах</w:t>
      </w:r>
      <w:r>
        <w:rPr>
          <w:sz w:val="28"/>
          <w:szCs w:val="28"/>
        </w:rPr>
        <w:t>. Также была выявлена прогрессия в динамике клинических признаков воспалительного процесса в тканях пародонта, таких как гиперемия десны, отек десны, наличие в пародонтальных карманах серозного или гнойного экссудата.</w:t>
      </w:r>
    </w:p>
    <w:p w:rsidR="00254EE8" w:rsidRDefault="00254EE8" w:rsidP="004106FA">
      <w:pPr>
        <w:ind w:firstLine="708"/>
        <w:jc w:val="both"/>
        <w:rPr>
          <w:sz w:val="28"/>
          <w:szCs w:val="28"/>
        </w:rPr>
      </w:pPr>
      <w:r>
        <w:rPr>
          <w:sz w:val="28"/>
          <w:szCs w:val="28"/>
        </w:rPr>
        <w:t>Ч</w:t>
      </w:r>
      <w:r w:rsidRPr="00137BB6">
        <w:rPr>
          <w:sz w:val="28"/>
          <w:szCs w:val="28"/>
        </w:rPr>
        <w:t>ерез 1 месяц после</w:t>
      </w:r>
      <w:r>
        <w:rPr>
          <w:sz w:val="28"/>
          <w:szCs w:val="28"/>
        </w:rPr>
        <w:t xml:space="preserve"> </w:t>
      </w:r>
      <w:r w:rsidRPr="00137BB6">
        <w:rPr>
          <w:sz w:val="28"/>
          <w:szCs w:val="28"/>
        </w:rPr>
        <w:t>лечения</w:t>
      </w:r>
      <w:r>
        <w:rPr>
          <w:sz w:val="28"/>
          <w:szCs w:val="28"/>
        </w:rPr>
        <w:t xml:space="preserve">, было проведено микробиологическое исследование </w:t>
      </w:r>
      <w:r w:rsidRPr="00137BB6">
        <w:rPr>
          <w:sz w:val="28"/>
          <w:szCs w:val="28"/>
        </w:rPr>
        <w:t>содержимо</w:t>
      </w:r>
      <w:r>
        <w:rPr>
          <w:sz w:val="28"/>
          <w:szCs w:val="28"/>
        </w:rPr>
        <w:t>го</w:t>
      </w:r>
      <w:r w:rsidRPr="00137BB6">
        <w:rPr>
          <w:sz w:val="28"/>
          <w:szCs w:val="28"/>
        </w:rPr>
        <w:t xml:space="preserve"> пародонтальных карманов</w:t>
      </w:r>
      <w:r>
        <w:rPr>
          <w:sz w:val="28"/>
          <w:szCs w:val="28"/>
        </w:rPr>
        <w:t xml:space="preserve"> которое выявило достоверное </w:t>
      </w:r>
      <w:r w:rsidRPr="00137BB6">
        <w:rPr>
          <w:sz w:val="28"/>
          <w:szCs w:val="28"/>
        </w:rPr>
        <w:t>(р&lt;0,0</w:t>
      </w:r>
      <w:r>
        <w:rPr>
          <w:sz w:val="28"/>
          <w:szCs w:val="28"/>
        </w:rPr>
        <w:t>01</w:t>
      </w:r>
      <w:r w:rsidRPr="00137BB6">
        <w:rPr>
          <w:sz w:val="28"/>
          <w:szCs w:val="28"/>
        </w:rPr>
        <w:t>)</w:t>
      </w:r>
      <w:r>
        <w:rPr>
          <w:sz w:val="28"/>
          <w:szCs w:val="28"/>
        </w:rPr>
        <w:t xml:space="preserve"> </w:t>
      </w:r>
      <w:r w:rsidRPr="00137BB6">
        <w:rPr>
          <w:sz w:val="28"/>
          <w:szCs w:val="28"/>
        </w:rPr>
        <w:t>уменьшение количества как патогенной флоры</w:t>
      </w:r>
      <w:r>
        <w:rPr>
          <w:sz w:val="28"/>
          <w:szCs w:val="28"/>
        </w:rPr>
        <w:t xml:space="preserve">, </w:t>
      </w:r>
      <w:r w:rsidRPr="00137BB6">
        <w:rPr>
          <w:sz w:val="28"/>
          <w:szCs w:val="28"/>
        </w:rPr>
        <w:lastRenderedPageBreak/>
        <w:t xml:space="preserve">бактероидов </w:t>
      </w:r>
      <w:r>
        <w:rPr>
          <w:sz w:val="28"/>
          <w:szCs w:val="28"/>
        </w:rPr>
        <w:t>и</w:t>
      </w:r>
      <w:r w:rsidRPr="00137BB6">
        <w:rPr>
          <w:sz w:val="28"/>
          <w:szCs w:val="28"/>
        </w:rPr>
        <w:t xml:space="preserve"> энтерококк</w:t>
      </w:r>
      <w:r>
        <w:rPr>
          <w:sz w:val="28"/>
          <w:szCs w:val="28"/>
        </w:rPr>
        <w:t>ов (</w:t>
      </w:r>
      <w:r w:rsidRPr="00137BB6">
        <w:rPr>
          <w:sz w:val="28"/>
          <w:szCs w:val="28"/>
        </w:rPr>
        <w:t>на</w:t>
      </w:r>
      <w:r>
        <w:rPr>
          <w:sz w:val="28"/>
          <w:szCs w:val="28"/>
        </w:rPr>
        <w:t xml:space="preserve"> 36,5</w:t>
      </w:r>
      <w:r w:rsidRPr="00137BB6">
        <w:rPr>
          <w:sz w:val="28"/>
          <w:szCs w:val="28"/>
        </w:rPr>
        <w:t>%</w:t>
      </w:r>
      <w:r>
        <w:rPr>
          <w:sz w:val="28"/>
          <w:szCs w:val="28"/>
        </w:rPr>
        <w:t xml:space="preserve"> и</w:t>
      </w:r>
      <w:r w:rsidRPr="00137BB6">
        <w:rPr>
          <w:sz w:val="28"/>
          <w:szCs w:val="28"/>
        </w:rPr>
        <w:t xml:space="preserve"> </w:t>
      </w:r>
      <w:r>
        <w:rPr>
          <w:sz w:val="28"/>
          <w:szCs w:val="28"/>
        </w:rPr>
        <w:t>51,1</w:t>
      </w:r>
      <w:r w:rsidRPr="00137BB6">
        <w:rPr>
          <w:sz w:val="28"/>
          <w:szCs w:val="28"/>
        </w:rPr>
        <w:t>%</w:t>
      </w:r>
      <w:r>
        <w:rPr>
          <w:sz w:val="28"/>
          <w:szCs w:val="28"/>
        </w:rPr>
        <w:t xml:space="preserve"> соответственно)</w:t>
      </w:r>
      <w:r w:rsidRPr="00137BB6">
        <w:rPr>
          <w:sz w:val="28"/>
          <w:szCs w:val="28"/>
        </w:rPr>
        <w:t>, так и облигатной</w:t>
      </w:r>
      <w:r>
        <w:rPr>
          <w:sz w:val="28"/>
          <w:szCs w:val="28"/>
        </w:rPr>
        <w:t xml:space="preserve"> флоры –</w:t>
      </w:r>
      <w:r w:rsidRPr="00137BB6">
        <w:rPr>
          <w:sz w:val="28"/>
          <w:szCs w:val="28"/>
        </w:rPr>
        <w:t xml:space="preserve"> стрептококков на </w:t>
      </w:r>
      <w:r>
        <w:rPr>
          <w:sz w:val="28"/>
          <w:szCs w:val="28"/>
        </w:rPr>
        <w:t>48,8%</w:t>
      </w:r>
      <w:r w:rsidRPr="00137BB6">
        <w:rPr>
          <w:sz w:val="28"/>
          <w:szCs w:val="28"/>
        </w:rPr>
        <w:t>.</w:t>
      </w:r>
    </w:p>
    <w:p w:rsidR="00254EE8" w:rsidRDefault="00254EE8" w:rsidP="004106FA">
      <w:pPr>
        <w:ind w:firstLine="708"/>
        <w:jc w:val="both"/>
        <w:rPr>
          <w:sz w:val="28"/>
          <w:szCs w:val="28"/>
        </w:rPr>
      </w:pPr>
      <w:r w:rsidRPr="008701CC">
        <w:rPr>
          <w:i/>
          <w:sz w:val="28"/>
          <w:szCs w:val="28"/>
        </w:rPr>
        <w:t>Оценка эффективности антимикробной терапии ровамицином.</w:t>
      </w:r>
      <w:r>
        <w:rPr>
          <w:b/>
          <w:i/>
          <w:sz w:val="28"/>
          <w:szCs w:val="28"/>
        </w:rPr>
        <w:t xml:space="preserve"> </w:t>
      </w:r>
      <w:r>
        <w:rPr>
          <w:sz w:val="28"/>
          <w:szCs w:val="28"/>
        </w:rPr>
        <w:t xml:space="preserve">Во второй </w:t>
      </w:r>
      <w:r w:rsidRPr="00137BB6">
        <w:rPr>
          <w:sz w:val="28"/>
          <w:szCs w:val="28"/>
        </w:rPr>
        <w:t>группе</w:t>
      </w:r>
      <w:r>
        <w:rPr>
          <w:sz w:val="28"/>
          <w:szCs w:val="28"/>
        </w:rPr>
        <w:t>, всем 41 пациентам, наряду с традиционной антимикробной</w:t>
      </w:r>
      <w:r w:rsidRPr="00137BB6">
        <w:rPr>
          <w:sz w:val="28"/>
          <w:szCs w:val="28"/>
        </w:rPr>
        <w:t xml:space="preserve"> </w:t>
      </w:r>
      <w:r>
        <w:rPr>
          <w:sz w:val="28"/>
          <w:szCs w:val="28"/>
        </w:rPr>
        <w:t>терапией</w:t>
      </w:r>
      <w:r w:rsidRPr="00355E4C">
        <w:rPr>
          <w:sz w:val="28"/>
          <w:szCs w:val="28"/>
        </w:rPr>
        <w:t xml:space="preserve"> </w:t>
      </w:r>
      <w:r w:rsidRPr="00137BB6">
        <w:rPr>
          <w:sz w:val="28"/>
          <w:szCs w:val="28"/>
        </w:rPr>
        <w:t>водн</w:t>
      </w:r>
      <w:r>
        <w:rPr>
          <w:sz w:val="28"/>
          <w:szCs w:val="28"/>
        </w:rPr>
        <w:t>ым</w:t>
      </w:r>
      <w:r w:rsidRPr="00137BB6">
        <w:rPr>
          <w:sz w:val="28"/>
          <w:szCs w:val="28"/>
        </w:rPr>
        <w:t xml:space="preserve"> раствор</w:t>
      </w:r>
      <w:r>
        <w:rPr>
          <w:sz w:val="28"/>
          <w:szCs w:val="28"/>
        </w:rPr>
        <w:t>ом</w:t>
      </w:r>
      <w:r w:rsidRPr="00137BB6">
        <w:rPr>
          <w:sz w:val="28"/>
          <w:szCs w:val="28"/>
        </w:rPr>
        <w:t xml:space="preserve"> хлоргексидина биглюконата</w:t>
      </w:r>
      <w:r>
        <w:rPr>
          <w:sz w:val="28"/>
          <w:szCs w:val="28"/>
        </w:rPr>
        <w:t xml:space="preserve"> назначали р</w:t>
      </w:r>
      <w:r w:rsidRPr="00964F39">
        <w:rPr>
          <w:sz w:val="28"/>
          <w:szCs w:val="28"/>
        </w:rPr>
        <w:t>овамицин</w:t>
      </w:r>
      <w:r>
        <w:rPr>
          <w:sz w:val="28"/>
          <w:szCs w:val="28"/>
        </w:rPr>
        <w:t xml:space="preserve">, в дозе 3 млн. </w:t>
      </w:r>
      <w:r w:rsidRPr="00964F39">
        <w:rPr>
          <w:sz w:val="28"/>
          <w:szCs w:val="28"/>
        </w:rPr>
        <w:t>ME</w:t>
      </w:r>
      <w:r>
        <w:rPr>
          <w:sz w:val="28"/>
          <w:szCs w:val="28"/>
        </w:rPr>
        <w:t>,</w:t>
      </w:r>
      <w:r w:rsidRPr="00964F39">
        <w:rPr>
          <w:sz w:val="28"/>
          <w:szCs w:val="28"/>
        </w:rPr>
        <w:t xml:space="preserve"> 3 раза в </w:t>
      </w:r>
      <w:r>
        <w:rPr>
          <w:sz w:val="28"/>
          <w:szCs w:val="28"/>
        </w:rPr>
        <w:t>сутки,</w:t>
      </w:r>
      <w:r w:rsidRPr="00964F39">
        <w:rPr>
          <w:sz w:val="28"/>
          <w:szCs w:val="28"/>
        </w:rPr>
        <w:t xml:space="preserve"> в течение 10 дней</w:t>
      </w:r>
      <w:r>
        <w:rPr>
          <w:sz w:val="28"/>
          <w:szCs w:val="28"/>
        </w:rPr>
        <w:t xml:space="preserve">. До начала лечения, в конце проведенного лечения (10 день лечения) и спустя месяц после лечения у всех пациентов проводилась оценка клинической картины с использованием индексов </w:t>
      </w:r>
      <w:r w:rsidRPr="00137BB6">
        <w:rPr>
          <w:sz w:val="28"/>
          <w:szCs w:val="28"/>
        </w:rPr>
        <w:t>Грина-Вермильона</w:t>
      </w:r>
      <w:r>
        <w:rPr>
          <w:sz w:val="28"/>
          <w:szCs w:val="28"/>
        </w:rPr>
        <w:t>, Рассела и Мюлемана (табл. 2).</w:t>
      </w:r>
    </w:p>
    <w:p w:rsidR="00254EE8" w:rsidRPr="00F5196C" w:rsidRDefault="00254EE8" w:rsidP="004106FA">
      <w:pPr>
        <w:jc w:val="both"/>
        <w:rPr>
          <w:sz w:val="16"/>
          <w:szCs w:val="16"/>
        </w:rPr>
      </w:pPr>
    </w:p>
    <w:p w:rsidR="00254EE8" w:rsidRPr="005101CF" w:rsidRDefault="00254EE8" w:rsidP="00920F6F">
      <w:pPr>
        <w:ind w:firstLine="284"/>
        <w:jc w:val="both"/>
        <w:rPr>
          <w:b/>
          <w:bCs/>
        </w:rPr>
      </w:pPr>
      <w:r w:rsidRPr="005101CF">
        <w:rPr>
          <w:b/>
          <w:bCs/>
        </w:rPr>
        <w:t>Таблица 2 – Динамика индексной оценки у пациентов II группы</w:t>
      </w:r>
    </w:p>
    <w:p w:rsidR="00254EE8" w:rsidRPr="005101CF" w:rsidRDefault="00254EE8" w:rsidP="004106FA">
      <w:pPr>
        <w:jc w:val="both"/>
        <w:rPr>
          <w:bCs/>
          <w:sz w:val="16"/>
          <w:szCs w:val="16"/>
        </w:rPr>
      </w:pPr>
    </w:p>
    <w:tbl>
      <w:tblPr>
        <w:tblW w:w="9096"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6"/>
        <w:gridCol w:w="1560"/>
        <w:gridCol w:w="2400"/>
        <w:gridCol w:w="3000"/>
      </w:tblGrid>
      <w:tr w:rsidR="00254EE8" w:rsidRPr="003E050C" w:rsidTr="00E301ED">
        <w:trPr>
          <w:trHeight w:val="255"/>
          <w:jc w:val="center"/>
        </w:trPr>
        <w:tc>
          <w:tcPr>
            <w:tcW w:w="2136" w:type="dxa"/>
            <w:shd w:val="clear" w:color="auto" w:fill="auto"/>
            <w:noWrap/>
            <w:vAlign w:val="center"/>
          </w:tcPr>
          <w:p w:rsidR="00254EE8" w:rsidRPr="003E050C" w:rsidRDefault="00254EE8" w:rsidP="004106FA">
            <w:pPr>
              <w:jc w:val="center"/>
              <w:rPr>
                <w:bCs/>
              </w:rPr>
            </w:pPr>
            <w:r w:rsidRPr="003E050C">
              <w:rPr>
                <w:bCs/>
              </w:rPr>
              <w:t>Оценочные индексы</w:t>
            </w:r>
          </w:p>
        </w:tc>
        <w:tc>
          <w:tcPr>
            <w:tcW w:w="1560" w:type="dxa"/>
            <w:shd w:val="clear" w:color="auto" w:fill="auto"/>
            <w:noWrap/>
            <w:vAlign w:val="center"/>
          </w:tcPr>
          <w:p w:rsidR="00254EE8" w:rsidRPr="003E050C" w:rsidRDefault="00254EE8" w:rsidP="004106FA">
            <w:pPr>
              <w:jc w:val="center"/>
              <w:rPr>
                <w:bCs/>
              </w:rPr>
            </w:pPr>
            <w:r w:rsidRPr="003E050C">
              <w:rPr>
                <w:bCs/>
              </w:rPr>
              <w:t>До лечения</w:t>
            </w:r>
          </w:p>
          <w:p w:rsidR="00254EE8" w:rsidRPr="003E050C" w:rsidRDefault="00254EE8" w:rsidP="004106FA">
            <w:pPr>
              <w:jc w:val="center"/>
              <w:rPr>
                <w:bCs/>
                <w:lang w:val="en-US"/>
              </w:rPr>
            </w:pPr>
            <w:r w:rsidRPr="003E050C">
              <w:rPr>
                <w:bCs/>
                <w:lang w:val="en-US"/>
              </w:rPr>
              <w:t>(M</w:t>
            </w:r>
            <w:r w:rsidRPr="003E050C">
              <w:rPr>
                <w:bCs/>
              </w:rPr>
              <w:t>±</w:t>
            </w:r>
            <w:r w:rsidRPr="003E050C">
              <w:rPr>
                <w:bCs/>
                <w:lang w:val="en-US"/>
              </w:rPr>
              <w:t>m)</w:t>
            </w:r>
          </w:p>
        </w:tc>
        <w:tc>
          <w:tcPr>
            <w:tcW w:w="2400" w:type="dxa"/>
            <w:shd w:val="clear" w:color="auto" w:fill="auto"/>
            <w:noWrap/>
            <w:vAlign w:val="center"/>
          </w:tcPr>
          <w:p w:rsidR="00254EE8" w:rsidRPr="003E050C" w:rsidRDefault="00254EE8" w:rsidP="004106FA">
            <w:pPr>
              <w:jc w:val="center"/>
              <w:rPr>
                <w:bCs/>
              </w:rPr>
            </w:pPr>
            <w:r w:rsidRPr="003E050C">
              <w:rPr>
                <w:bCs/>
              </w:rPr>
              <w:t>На 10 сутки лечения</w:t>
            </w:r>
          </w:p>
          <w:p w:rsidR="00254EE8" w:rsidRPr="003E050C" w:rsidRDefault="00254EE8" w:rsidP="004106FA">
            <w:pPr>
              <w:jc w:val="center"/>
              <w:rPr>
                <w:bCs/>
              </w:rPr>
            </w:pPr>
            <w:r w:rsidRPr="003E050C">
              <w:rPr>
                <w:bCs/>
              </w:rPr>
              <w:t>(</w:t>
            </w:r>
            <w:r w:rsidRPr="003E050C">
              <w:rPr>
                <w:bCs/>
                <w:lang w:val="en-US"/>
              </w:rPr>
              <w:t>M</w:t>
            </w:r>
            <w:r w:rsidRPr="003E050C">
              <w:rPr>
                <w:bCs/>
              </w:rPr>
              <w:t>±</w:t>
            </w:r>
            <w:r w:rsidRPr="003E050C">
              <w:rPr>
                <w:bCs/>
                <w:lang w:val="en-US"/>
              </w:rPr>
              <w:t>m</w:t>
            </w:r>
            <w:r w:rsidRPr="003E050C">
              <w:rPr>
                <w:bCs/>
              </w:rPr>
              <w:t>)</w:t>
            </w:r>
          </w:p>
        </w:tc>
        <w:tc>
          <w:tcPr>
            <w:tcW w:w="3000" w:type="dxa"/>
            <w:shd w:val="clear" w:color="auto" w:fill="auto"/>
            <w:noWrap/>
            <w:vAlign w:val="center"/>
          </w:tcPr>
          <w:p w:rsidR="00254EE8" w:rsidRDefault="00254EE8" w:rsidP="004106FA">
            <w:pPr>
              <w:jc w:val="center"/>
              <w:rPr>
                <w:bCs/>
              </w:rPr>
            </w:pPr>
            <w:r w:rsidRPr="003E050C">
              <w:rPr>
                <w:bCs/>
              </w:rPr>
              <w:t>Через месяц после</w:t>
            </w:r>
          </w:p>
          <w:p w:rsidR="00254EE8" w:rsidRPr="003E050C" w:rsidRDefault="00254EE8" w:rsidP="004106FA">
            <w:pPr>
              <w:jc w:val="center"/>
              <w:rPr>
                <w:bCs/>
              </w:rPr>
            </w:pPr>
            <w:r>
              <w:rPr>
                <w:bCs/>
              </w:rPr>
              <w:t>л</w:t>
            </w:r>
            <w:r w:rsidRPr="003E050C">
              <w:rPr>
                <w:bCs/>
              </w:rPr>
              <w:t>ечения</w:t>
            </w:r>
            <w:r>
              <w:rPr>
                <w:bCs/>
              </w:rPr>
              <w:t xml:space="preserve"> </w:t>
            </w:r>
            <w:r w:rsidRPr="003E050C">
              <w:rPr>
                <w:bCs/>
              </w:rPr>
              <w:t>(</w:t>
            </w:r>
            <w:r w:rsidRPr="003E050C">
              <w:rPr>
                <w:bCs/>
                <w:lang w:val="en-US"/>
              </w:rPr>
              <w:t>M</w:t>
            </w:r>
            <w:r w:rsidRPr="003E050C">
              <w:rPr>
                <w:bCs/>
              </w:rPr>
              <w:t>±</w:t>
            </w:r>
            <w:r w:rsidRPr="003E050C">
              <w:rPr>
                <w:bCs/>
                <w:lang w:val="en-US"/>
              </w:rPr>
              <w:t>m</w:t>
            </w:r>
            <w:r w:rsidRPr="003E050C">
              <w:rPr>
                <w:bCs/>
              </w:rPr>
              <w:t>)</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Грина-Вермильона</w:t>
            </w:r>
          </w:p>
        </w:tc>
        <w:tc>
          <w:tcPr>
            <w:tcW w:w="1560" w:type="dxa"/>
            <w:shd w:val="clear" w:color="auto" w:fill="auto"/>
            <w:noWrap/>
            <w:vAlign w:val="center"/>
          </w:tcPr>
          <w:p w:rsidR="00254EE8" w:rsidRPr="003E050C" w:rsidRDefault="00254EE8" w:rsidP="004106FA">
            <w:pPr>
              <w:jc w:val="center"/>
            </w:pPr>
            <w:r w:rsidRPr="003E050C">
              <w:t>2,4±0,3</w:t>
            </w:r>
          </w:p>
        </w:tc>
        <w:tc>
          <w:tcPr>
            <w:tcW w:w="2400" w:type="dxa"/>
            <w:shd w:val="clear" w:color="auto" w:fill="auto"/>
            <w:noWrap/>
            <w:vAlign w:val="center"/>
          </w:tcPr>
          <w:p w:rsidR="00254EE8" w:rsidRPr="003E050C" w:rsidRDefault="00254EE8" w:rsidP="004106FA">
            <w:pPr>
              <w:jc w:val="center"/>
              <w:rPr>
                <w:b/>
                <w:vertAlign w:val="superscript"/>
              </w:rPr>
            </w:pPr>
            <w:r w:rsidRPr="003E050C">
              <w:t>0,2±0,2</w:t>
            </w:r>
          </w:p>
          <w:p w:rsidR="00254EE8" w:rsidRPr="003E050C" w:rsidRDefault="00254EE8" w:rsidP="004106FA">
            <w:pPr>
              <w:jc w:val="center"/>
              <w:rPr>
                <w:b/>
              </w:rPr>
            </w:pPr>
            <w:r w:rsidRPr="003E050C">
              <w:t>(р</w:t>
            </w:r>
            <w:r w:rsidRPr="003E050C">
              <w:rPr>
                <w:vertAlign w:val="subscript"/>
              </w:rPr>
              <w:t>1</w:t>
            </w:r>
            <w:r w:rsidRPr="003E050C">
              <w:t>&lt;0,001)</w:t>
            </w:r>
          </w:p>
        </w:tc>
        <w:tc>
          <w:tcPr>
            <w:tcW w:w="3000" w:type="dxa"/>
            <w:shd w:val="clear" w:color="auto" w:fill="auto"/>
            <w:noWrap/>
            <w:vAlign w:val="center"/>
          </w:tcPr>
          <w:p w:rsidR="00254EE8" w:rsidRPr="003E050C" w:rsidRDefault="00254EE8" w:rsidP="004106FA">
            <w:pPr>
              <w:jc w:val="center"/>
            </w:pPr>
            <w:r w:rsidRPr="003E050C">
              <w:t>0,3±0,2</w:t>
            </w:r>
          </w:p>
          <w:p w:rsidR="00254EE8" w:rsidRPr="003E050C" w:rsidRDefault="00254EE8" w:rsidP="004106FA">
            <w:pPr>
              <w:jc w:val="center"/>
              <w:rPr>
                <w:b/>
              </w:rPr>
            </w:pPr>
            <w:r w:rsidRPr="003E050C">
              <w:t>(р</w:t>
            </w:r>
            <w:r w:rsidRPr="003E050C">
              <w:rPr>
                <w:vertAlign w:val="subscript"/>
              </w:rPr>
              <w:t>2</w:t>
            </w:r>
            <w:r w:rsidRPr="003E050C">
              <w:t>&lt;0,001)</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Рассела</w:t>
            </w:r>
          </w:p>
        </w:tc>
        <w:tc>
          <w:tcPr>
            <w:tcW w:w="1560" w:type="dxa"/>
            <w:shd w:val="clear" w:color="auto" w:fill="auto"/>
            <w:noWrap/>
            <w:vAlign w:val="center"/>
          </w:tcPr>
          <w:p w:rsidR="00254EE8" w:rsidRPr="003E050C" w:rsidRDefault="00254EE8" w:rsidP="004106FA">
            <w:pPr>
              <w:jc w:val="center"/>
            </w:pPr>
            <w:r w:rsidRPr="003E050C">
              <w:t>3,9±0,3</w:t>
            </w:r>
          </w:p>
        </w:tc>
        <w:tc>
          <w:tcPr>
            <w:tcW w:w="2400" w:type="dxa"/>
            <w:shd w:val="clear" w:color="auto" w:fill="auto"/>
            <w:noWrap/>
            <w:vAlign w:val="center"/>
          </w:tcPr>
          <w:p w:rsidR="00254EE8" w:rsidRPr="003E050C" w:rsidRDefault="00254EE8" w:rsidP="004106FA">
            <w:pPr>
              <w:jc w:val="center"/>
              <w:rPr>
                <w:b/>
              </w:rPr>
            </w:pPr>
            <w:r w:rsidRPr="003E050C">
              <w:t>0,7±0,3</w:t>
            </w:r>
          </w:p>
          <w:p w:rsidR="00254EE8" w:rsidRPr="003E050C" w:rsidRDefault="00254EE8" w:rsidP="004106FA">
            <w:pPr>
              <w:jc w:val="center"/>
            </w:pPr>
            <w:r w:rsidRPr="003E050C">
              <w:t>(р</w:t>
            </w:r>
            <w:r w:rsidRPr="003E050C">
              <w:rPr>
                <w:vertAlign w:val="subscript"/>
              </w:rPr>
              <w:t>1</w:t>
            </w:r>
            <w:r w:rsidRPr="003E050C">
              <w:t>&lt;0,001)</w:t>
            </w:r>
          </w:p>
        </w:tc>
        <w:tc>
          <w:tcPr>
            <w:tcW w:w="3000" w:type="dxa"/>
            <w:shd w:val="clear" w:color="auto" w:fill="auto"/>
            <w:noWrap/>
            <w:vAlign w:val="center"/>
          </w:tcPr>
          <w:p w:rsidR="00254EE8" w:rsidRPr="003E050C" w:rsidRDefault="00254EE8" w:rsidP="004106FA">
            <w:pPr>
              <w:jc w:val="center"/>
            </w:pPr>
            <w:r w:rsidRPr="003E050C">
              <w:t>0,9±0,3</w:t>
            </w:r>
          </w:p>
          <w:p w:rsidR="00254EE8" w:rsidRPr="003E050C" w:rsidRDefault="00254EE8" w:rsidP="004106FA">
            <w:pPr>
              <w:jc w:val="center"/>
            </w:pPr>
            <w:r w:rsidRPr="003E050C">
              <w:t>(р</w:t>
            </w:r>
            <w:r w:rsidRPr="003E050C">
              <w:rPr>
                <w:vertAlign w:val="subscript"/>
              </w:rPr>
              <w:t>2</w:t>
            </w:r>
            <w:r w:rsidRPr="003E050C">
              <w:t>&lt;0,001)</w:t>
            </w:r>
          </w:p>
        </w:tc>
      </w:tr>
      <w:tr w:rsidR="00254EE8" w:rsidRPr="003E050C" w:rsidTr="00E301ED">
        <w:trPr>
          <w:trHeight w:val="255"/>
          <w:jc w:val="center"/>
        </w:trPr>
        <w:tc>
          <w:tcPr>
            <w:tcW w:w="2136" w:type="dxa"/>
            <w:shd w:val="clear" w:color="auto" w:fill="auto"/>
            <w:noWrap/>
            <w:vAlign w:val="bottom"/>
          </w:tcPr>
          <w:p w:rsidR="00254EE8" w:rsidRPr="003E050C" w:rsidRDefault="00254EE8" w:rsidP="004106FA">
            <w:r w:rsidRPr="003E050C">
              <w:t>Индекс Мюлемана</w:t>
            </w:r>
          </w:p>
        </w:tc>
        <w:tc>
          <w:tcPr>
            <w:tcW w:w="1560" w:type="dxa"/>
            <w:shd w:val="clear" w:color="auto" w:fill="auto"/>
            <w:noWrap/>
            <w:vAlign w:val="center"/>
          </w:tcPr>
          <w:p w:rsidR="00254EE8" w:rsidRPr="003E050C" w:rsidRDefault="00254EE8" w:rsidP="004106FA">
            <w:pPr>
              <w:jc w:val="center"/>
            </w:pPr>
            <w:r w:rsidRPr="003E050C">
              <w:t>2,2±0,3</w:t>
            </w:r>
          </w:p>
        </w:tc>
        <w:tc>
          <w:tcPr>
            <w:tcW w:w="2400" w:type="dxa"/>
            <w:shd w:val="clear" w:color="auto" w:fill="auto"/>
            <w:noWrap/>
            <w:vAlign w:val="center"/>
          </w:tcPr>
          <w:p w:rsidR="00254EE8" w:rsidRPr="003E050C" w:rsidRDefault="00254EE8" w:rsidP="004106FA">
            <w:pPr>
              <w:jc w:val="center"/>
              <w:rPr>
                <w:b/>
              </w:rPr>
            </w:pPr>
            <w:r w:rsidRPr="003E050C">
              <w:t>0,1±0,2</w:t>
            </w:r>
          </w:p>
          <w:p w:rsidR="00254EE8" w:rsidRPr="003E050C" w:rsidRDefault="00254EE8" w:rsidP="004106FA">
            <w:pPr>
              <w:jc w:val="center"/>
            </w:pPr>
            <w:r w:rsidRPr="003E050C">
              <w:t>(р</w:t>
            </w:r>
            <w:r w:rsidRPr="003E050C">
              <w:rPr>
                <w:vertAlign w:val="subscript"/>
              </w:rPr>
              <w:t>1</w:t>
            </w:r>
            <w:r w:rsidRPr="003E050C">
              <w:t>&lt;0,001)</w:t>
            </w:r>
          </w:p>
        </w:tc>
        <w:tc>
          <w:tcPr>
            <w:tcW w:w="3000" w:type="dxa"/>
            <w:shd w:val="clear" w:color="auto" w:fill="auto"/>
            <w:noWrap/>
            <w:vAlign w:val="center"/>
          </w:tcPr>
          <w:p w:rsidR="00254EE8" w:rsidRPr="003E050C" w:rsidRDefault="00254EE8" w:rsidP="004106FA">
            <w:pPr>
              <w:jc w:val="center"/>
              <w:rPr>
                <w:b/>
              </w:rPr>
            </w:pPr>
            <w:r w:rsidRPr="003E050C">
              <w:t>0,3±0,3</w:t>
            </w:r>
          </w:p>
          <w:p w:rsidR="00254EE8" w:rsidRPr="003E050C" w:rsidRDefault="00254EE8" w:rsidP="004106FA">
            <w:pPr>
              <w:jc w:val="center"/>
            </w:pPr>
            <w:r w:rsidRPr="003E050C">
              <w:t>(р</w:t>
            </w:r>
            <w:r w:rsidRPr="003E050C">
              <w:rPr>
                <w:vertAlign w:val="subscript"/>
              </w:rPr>
              <w:t>2</w:t>
            </w:r>
            <w:r w:rsidRPr="003E050C">
              <w:t>&lt;0,001)</w:t>
            </w:r>
          </w:p>
        </w:tc>
      </w:tr>
    </w:tbl>
    <w:p w:rsidR="00254EE8" w:rsidRPr="005101CF" w:rsidRDefault="00254EE8" w:rsidP="004106FA">
      <w:pPr>
        <w:jc w:val="both"/>
        <w:rPr>
          <w:b/>
          <w:sz w:val="16"/>
          <w:szCs w:val="16"/>
        </w:rPr>
      </w:pPr>
    </w:p>
    <w:p w:rsidR="00254EE8" w:rsidRPr="003E050C" w:rsidRDefault="00254EE8" w:rsidP="004106FA">
      <w:pPr>
        <w:jc w:val="both"/>
      </w:pPr>
      <w:r w:rsidRPr="003E050C">
        <w:rPr>
          <w:b/>
        </w:rPr>
        <w:t>Примечание</w:t>
      </w:r>
      <w:r w:rsidRPr="003E050C">
        <w:t>: р</w:t>
      </w:r>
      <w:r w:rsidRPr="003E050C">
        <w:rPr>
          <w:vertAlign w:val="subscript"/>
        </w:rPr>
        <w:t>1</w:t>
      </w:r>
      <w:r w:rsidRPr="003E050C">
        <w:t xml:space="preserve">, </w:t>
      </w:r>
      <w:r w:rsidRPr="003E050C">
        <w:rPr>
          <w:lang w:val="en-US"/>
        </w:rPr>
        <w:t>p</w:t>
      </w:r>
      <w:r w:rsidRPr="003E050C">
        <w:rPr>
          <w:vertAlign w:val="subscript"/>
        </w:rPr>
        <w:t>2</w:t>
      </w:r>
      <w:r w:rsidRPr="003E050C">
        <w:t xml:space="preserve"> – достоверность различий по отношению к показателям до лечения</w:t>
      </w:r>
    </w:p>
    <w:p w:rsidR="00254EE8" w:rsidRPr="00886A8D" w:rsidRDefault="00254EE8" w:rsidP="004106FA">
      <w:pPr>
        <w:jc w:val="both"/>
        <w:rPr>
          <w:sz w:val="16"/>
          <w:szCs w:val="16"/>
        </w:rPr>
      </w:pPr>
    </w:p>
    <w:p w:rsidR="00254EE8" w:rsidRDefault="00254EE8" w:rsidP="004106FA">
      <w:pPr>
        <w:ind w:firstLine="708"/>
        <w:jc w:val="both"/>
        <w:rPr>
          <w:sz w:val="28"/>
          <w:szCs w:val="28"/>
        </w:rPr>
      </w:pPr>
      <w:r>
        <w:rPr>
          <w:sz w:val="28"/>
          <w:szCs w:val="28"/>
        </w:rPr>
        <w:t>На</w:t>
      </w:r>
      <w:r w:rsidRPr="00F5196C">
        <w:rPr>
          <w:sz w:val="28"/>
          <w:szCs w:val="28"/>
        </w:rPr>
        <w:t xml:space="preserve"> первые сутки от начала лечения все пациенты отмечали незначительное улучшение состояния, которое выражалось в ощущении свежести в полости рта, уменьшении запаха и исчезновении дискомфорта в деснах. Клинические признаки воспаления в тканях пародонта (гиперемия десны, отек десны и экссудат) изменялись слабо.</w:t>
      </w:r>
      <w:r>
        <w:rPr>
          <w:sz w:val="28"/>
          <w:szCs w:val="28"/>
        </w:rPr>
        <w:t xml:space="preserve"> На 10 сутки антимикробной терапии</w:t>
      </w:r>
      <w:r w:rsidRPr="00137BB6">
        <w:rPr>
          <w:sz w:val="28"/>
          <w:szCs w:val="28"/>
        </w:rPr>
        <w:t xml:space="preserve"> гиперемия десневого края сохранилась</w:t>
      </w:r>
      <w:r>
        <w:rPr>
          <w:sz w:val="28"/>
          <w:szCs w:val="28"/>
        </w:rPr>
        <w:t xml:space="preserve"> всего</w:t>
      </w:r>
      <w:r w:rsidRPr="00137BB6">
        <w:rPr>
          <w:sz w:val="28"/>
          <w:szCs w:val="28"/>
        </w:rPr>
        <w:t xml:space="preserve"> у </w:t>
      </w:r>
      <w:r>
        <w:rPr>
          <w:sz w:val="28"/>
          <w:szCs w:val="28"/>
        </w:rPr>
        <w:t>троих</w:t>
      </w:r>
      <w:r w:rsidRPr="00137BB6">
        <w:rPr>
          <w:sz w:val="28"/>
          <w:szCs w:val="28"/>
        </w:rPr>
        <w:t xml:space="preserve"> пациентов,</w:t>
      </w:r>
      <w:r>
        <w:rPr>
          <w:sz w:val="28"/>
          <w:szCs w:val="28"/>
        </w:rPr>
        <w:t xml:space="preserve"> а</w:t>
      </w:r>
      <w:r w:rsidRPr="00137BB6">
        <w:rPr>
          <w:sz w:val="28"/>
          <w:szCs w:val="28"/>
        </w:rPr>
        <w:t xml:space="preserve"> наличие </w:t>
      </w:r>
      <w:r>
        <w:rPr>
          <w:sz w:val="28"/>
          <w:szCs w:val="28"/>
        </w:rPr>
        <w:t>серозного или</w:t>
      </w:r>
      <w:r w:rsidRPr="00137BB6">
        <w:rPr>
          <w:sz w:val="28"/>
          <w:szCs w:val="28"/>
        </w:rPr>
        <w:t xml:space="preserve"> гнойного экссудата </w:t>
      </w:r>
      <w:r>
        <w:rPr>
          <w:sz w:val="28"/>
          <w:szCs w:val="28"/>
        </w:rPr>
        <w:t>выявлено не было</w:t>
      </w:r>
      <w:r w:rsidRPr="00137BB6">
        <w:rPr>
          <w:sz w:val="28"/>
          <w:szCs w:val="28"/>
        </w:rPr>
        <w:t>.</w:t>
      </w:r>
      <w:r>
        <w:rPr>
          <w:sz w:val="28"/>
          <w:szCs w:val="28"/>
        </w:rPr>
        <w:t xml:space="preserve"> </w:t>
      </w:r>
      <w:r w:rsidRPr="00137BB6">
        <w:rPr>
          <w:sz w:val="28"/>
          <w:szCs w:val="28"/>
        </w:rPr>
        <w:t xml:space="preserve">Через 1 месяц после </w:t>
      </w:r>
      <w:r>
        <w:rPr>
          <w:sz w:val="28"/>
          <w:szCs w:val="28"/>
        </w:rPr>
        <w:t>проведенного</w:t>
      </w:r>
      <w:r w:rsidRPr="00137BB6">
        <w:rPr>
          <w:sz w:val="28"/>
          <w:szCs w:val="28"/>
        </w:rPr>
        <w:t xml:space="preserve"> курса </w:t>
      </w:r>
      <w:r>
        <w:rPr>
          <w:sz w:val="28"/>
          <w:szCs w:val="28"/>
        </w:rPr>
        <w:t>лечения</w:t>
      </w:r>
      <w:r w:rsidRPr="00137BB6">
        <w:rPr>
          <w:sz w:val="28"/>
          <w:szCs w:val="28"/>
        </w:rPr>
        <w:t xml:space="preserve"> клиническая картина у пациентов </w:t>
      </w:r>
      <w:r>
        <w:rPr>
          <w:sz w:val="28"/>
          <w:szCs w:val="28"/>
        </w:rPr>
        <w:t>второй</w:t>
      </w:r>
      <w:r w:rsidRPr="00137BB6">
        <w:rPr>
          <w:sz w:val="28"/>
          <w:szCs w:val="28"/>
        </w:rPr>
        <w:t xml:space="preserve"> группы</w:t>
      </w:r>
      <w:r>
        <w:rPr>
          <w:sz w:val="28"/>
          <w:szCs w:val="28"/>
        </w:rPr>
        <w:t xml:space="preserve"> незначительно </w:t>
      </w:r>
      <w:r w:rsidRPr="00137BB6">
        <w:rPr>
          <w:sz w:val="28"/>
          <w:szCs w:val="28"/>
        </w:rPr>
        <w:t>изменилась в худшую сторон</w:t>
      </w:r>
      <w:r>
        <w:rPr>
          <w:sz w:val="28"/>
          <w:szCs w:val="28"/>
        </w:rPr>
        <w:t>у по отношению к 10-м суткам лечения, но при этом оставалась достаточно стабильной, что характеризует эффективность проведенной антимикробной терапии.</w:t>
      </w:r>
    </w:p>
    <w:p w:rsidR="00254EE8" w:rsidRDefault="00254EE8" w:rsidP="004106FA">
      <w:pPr>
        <w:ind w:firstLine="708"/>
        <w:jc w:val="both"/>
        <w:rPr>
          <w:sz w:val="28"/>
          <w:szCs w:val="28"/>
        </w:rPr>
      </w:pPr>
      <w:r>
        <w:rPr>
          <w:sz w:val="28"/>
          <w:szCs w:val="28"/>
        </w:rPr>
        <w:t xml:space="preserve">Микробиологическое исследование </w:t>
      </w:r>
      <w:r w:rsidRPr="00137BB6">
        <w:rPr>
          <w:sz w:val="28"/>
          <w:szCs w:val="28"/>
        </w:rPr>
        <w:t>содержимо</w:t>
      </w:r>
      <w:r>
        <w:rPr>
          <w:sz w:val="28"/>
          <w:szCs w:val="28"/>
        </w:rPr>
        <w:t>го</w:t>
      </w:r>
      <w:r w:rsidRPr="00137BB6">
        <w:rPr>
          <w:sz w:val="28"/>
          <w:szCs w:val="28"/>
        </w:rPr>
        <w:t xml:space="preserve"> пародонтальных карманов</w:t>
      </w:r>
      <w:r>
        <w:rPr>
          <w:sz w:val="28"/>
          <w:szCs w:val="28"/>
        </w:rPr>
        <w:t xml:space="preserve"> </w:t>
      </w:r>
      <w:r w:rsidRPr="00D007FE">
        <w:rPr>
          <w:sz w:val="28"/>
          <w:szCs w:val="28"/>
        </w:rPr>
        <w:t xml:space="preserve">выявило достоверное (р&lt;0,001) </w:t>
      </w:r>
      <w:r>
        <w:rPr>
          <w:sz w:val="28"/>
          <w:szCs w:val="28"/>
        </w:rPr>
        <w:t xml:space="preserve">снижение </w:t>
      </w:r>
      <w:r w:rsidRPr="00D007FE">
        <w:rPr>
          <w:sz w:val="28"/>
          <w:szCs w:val="28"/>
        </w:rPr>
        <w:t>количества</w:t>
      </w:r>
      <w:r>
        <w:rPr>
          <w:sz w:val="28"/>
          <w:szCs w:val="28"/>
        </w:rPr>
        <w:t xml:space="preserve"> высеваемых из пародонтальных карманов бактерий. Так количество </w:t>
      </w:r>
      <w:r w:rsidRPr="00D007FE">
        <w:rPr>
          <w:sz w:val="28"/>
          <w:szCs w:val="28"/>
        </w:rPr>
        <w:t>бактероидов</w:t>
      </w:r>
      <w:r>
        <w:rPr>
          <w:sz w:val="28"/>
          <w:szCs w:val="28"/>
        </w:rPr>
        <w:t xml:space="preserve"> уменьшилось на 58,5%,</w:t>
      </w:r>
      <w:r w:rsidRPr="00D007FE">
        <w:rPr>
          <w:sz w:val="28"/>
          <w:szCs w:val="28"/>
        </w:rPr>
        <w:t xml:space="preserve"> энтерококков на </w:t>
      </w:r>
      <w:r>
        <w:rPr>
          <w:sz w:val="28"/>
          <w:szCs w:val="28"/>
        </w:rPr>
        <w:t>43,9</w:t>
      </w:r>
      <w:r w:rsidRPr="00D007FE">
        <w:rPr>
          <w:sz w:val="28"/>
          <w:szCs w:val="28"/>
        </w:rPr>
        <w:t>%</w:t>
      </w:r>
      <w:r>
        <w:rPr>
          <w:sz w:val="28"/>
          <w:szCs w:val="28"/>
        </w:rPr>
        <w:t>,</w:t>
      </w:r>
      <w:r w:rsidRPr="00D007FE">
        <w:rPr>
          <w:sz w:val="28"/>
          <w:szCs w:val="28"/>
        </w:rPr>
        <w:t xml:space="preserve"> и </w:t>
      </w:r>
      <w:r w:rsidRPr="00137BB6">
        <w:rPr>
          <w:sz w:val="28"/>
          <w:szCs w:val="28"/>
        </w:rPr>
        <w:t xml:space="preserve">стрептококков на </w:t>
      </w:r>
      <w:r>
        <w:rPr>
          <w:sz w:val="28"/>
          <w:szCs w:val="28"/>
        </w:rPr>
        <w:t>51,2%</w:t>
      </w:r>
      <w:r w:rsidRPr="00137BB6">
        <w:rPr>
          <w:sz w:val="28"/>
          <w:szCs w:val="28"/>
        </w:rPr>
        <w:t>.</w:t>
      </w:r>
    </w:p>
    <w:p w:rsidR="00254EE8" w:rsidRPr="00137BB6" w:rsidRDefault="00254EE8" w:rsidP="004106FA">
      <w:pPr>
        <w:ind w:firstLine="708"/>
        <w:jc w:val="both"/>
        <w:rPr>
          <w:sz w:val="28"/>
          <w:szCs w:val="28"/>
        </w:rPr>
      </w:pPr>
      <w:r w:rsidRPr="008701CC">
        <w:rPr>
          <w:i/>
          <w:sz w:val="28"/>
          <w:szCs w:val="28"/>
        </w:rPr>
        <w:t>Оценка эффективности лазеротерапии.</w:t>
      </w:r>
      <w:r>
        <w:rPr>
          <w:bCs/>
          <w:iCs/>
          <w:sz w:val="28"/>
          <w:szCs w:val="28"/>
        </w:rPr>
        <w:t xml:space="preserve"> </w:t>
      </w:r>
      <w:r>
        <w:rPr>
          <w:sz w:val="28"/>
          <w:szCs w:val="28"/>
        </w:rPr>
        <w:t>В</w:t>
      </w:r>
      <w:r w:rsidRPr="00137BB6">
        <w:rPr>
          <w:sz w:val="28"/>
          <w:szCs w:val="28"/>
        </w:rPr>
        <w:t xml:space="preserve"> </w:t>
      </w:r>
      <w:r>
        <w:rPr>
          <w:sz w:val="28"/>
          <w:szCs w:val="28"/>
        </w:rPr>
        <w:t>третьей</w:t>
      </w:r>
      <w:r w:rsidRPr="00137BB6">
        <w:rPr>
          <w:sz w:val="28"/>
          <w:szCs w:val="28"/>
        </w:rPr>
        <w:t xml:space="preserve"> исследуемой группе проводилась лазеротерапия с использованием стоматологической лазерной установки </w:t>
      </w:r>
      <w:r>
        <w:rPr>
          <w:sz w:val="28"/>
          <w:szCs w:val="28"/>
        </w:rPr>
        <w:t>«ОПТОДАН»</w:t>
      </w:r>
      <w:r w:rsidRPr="00137BB6">
        <w:rPr>
          <w:sz w:val="28"/>
          <w:szCs w:val="28"/>
        </w:rPr>
        <w:t>. Обр</w:t>
      </w:r>
      <w:r>
        <w:rPr>
          <w:sz w:val="28"/>
          <w:szCs w:val="28"/>
        </w:rPr>
        <w:t>аботка пародонтальных карманов</w:t>
      </w:r>
      <w:r w:rsidRPr="00137BB6">
        <w:rPr>
          <w:sz w:val="28"/>
          <w:szCs w:val="28"/>
        </w:rPr>
        <w:t xml:space="preserve"> проводилась в </w:t>
      </w:r>
      <w:r>
        <w:rPr>
          <w:sz w:val="28"/>
          <w:szCs w:val="28"/>
          <w:lang w:val="en-US"/>
        </w:rPr>
        <w:t>I</w:t>
      </w:r>
      <w:r w:rsidRPr="00D76BCA">
        <w:rPr>
          <w:sz w:val="28"/>
          <w:szCs w:val="28"/>
        </w:rPr>
        <w:t xml:space="preserve"> </w:t>
      </w:r>
      <w:r>
        <w:rPr>
          <w:sz w:val="28"/>
          <w:szCs w:val="28"/>
        </w:rPr>
        <w:t>и</w:t>
      </w:r>
      <w:r w:rsidRPr="00D76BCA">
        <w:rPr>
          <w:sz w:val="28"/>
          <w:szCs w:val="28"/>
        </w:rPr>
        <w:t xml:space="preserve"> </w:t>
      </w:r>
      <w:r>
        <w:rPr>
          <w:sz w:val="28"/>
          <w:szCs w:val="28"/>
          <w:lang w:val="en-US"/>
        </w:rPr>
        <w:t>II</w:t>
      </w:r>
      <w:r w:rsidRPr="00137BB6">
        <w:rPr>
          <w:sz w:val="28"/>
          <w:szCs w:val="28"/>
        </w:rPr>
        <w:t xml:space="preserve"> режиме работы, предполагающем воздействие на мягкие ткани. Продолжительность обработки одного пародонтального кармана составляла </w:t>
      </w:r>
      <w:r>
        <w:rPr>
          <w:sz w:val="28"/>
          <w:szCs w:val="28"/>
        </w:rPr>
        <w:t>2 мин</w:t>
      </w:r>
      <w:r w:rsidRPr="00137BB6">
        <w:rPr>
          <w:sz w:val="28"/>
          <w:szCs w:val="28"/>
        </w:rPr>
        <w:t>. Обработка всех пародонтальных карманов лазером проводилась один раз в день</w:t>
      </w:r>
      <w:r>
        <w:rPr>
          <w:sz w:val="28"/>
          <w:szCs w:val="28"/>
        </w:rPr>
        <w:t xml:space="preserve"> в течение 10 дней.</w:t>
      </w:r>
    </w:p>
    <w:p w:rsidR="00254EE8" w:rsidRDefault="00254EE8" w:rsidP="004106FA">
      <w:pPr>
        <w:ind w:firstLine="708"/>
        <w:jc w:val="both"/>
        <w:rPr>
          <w:sz w:val="28"/>
          <w:szCs w:val="28"/>
        </w:rPr>
      </w:pPr>
      <w:r>
        <w:rPr>
          <w:sz w:val="28"/>
          <w:szCs w:val="28"/>
        </w:rPr>
        <w:lastRenderedPageBreak/>
        <w:t>Г</w:t>
      </w:r>
      <w:r w:rsidRPr="00137BB6">
        <w:rPr>
          <w:sz w:val="28"/>
          <w:szCs w:val="28"/>
        </w:rPr>
        <w:t>игиен</w:t>
      </w:r>
      <w:r>
        <w:rPr>
          <w:sz w:val="28"/>
          <w:szCs w:val="28"/>
        </w:rPr>
        <w:t>а</w:t>
      </w:r>
      <w:r w:rsidRPr="00137BB6">
        <w:rPr>
          <w:sz w:val="28"/>
          <w:szCs w:val="28"/>
        </w:rPr>
        <w:t xml:space="preserve"> полости рта у пациентов </w:t>
      </w:r>
      <w:r>
        <w:rPr>
          <w:sz w:val="28"/>
          <w:szCs w:val="28"/>
        </w:rPr>
        <w:t>третьей группы также</w:t>
      </w:r>
      <w:r w:rsidRPr="00137BB6">
        <w:rPr>
          <w:sz w:val="28"/>
          <w:szCs w:val="28"/>
        </w:rPr>
        <w:t xml:space="preserve"> соответствовал</w:t>
      </w:r>
      <w:r>
        <w:rPr>
          <w:sz w:val="28"/>
          <w:szCs w:val="28"/>
        </w:rPr>
        <w:t>а</w:t>
      </w:r>
      <w:r w:rsidRPr="00137BB6">
        <w:rPr>
          <w:sz w:val="28"/>
          <w:szCs w:val="28"/>
        </w:rPr>
        <w:t xml:space="preserve"> плохому уровню. Пародонтальныи индекс свидетельств</w:t>
      </w:r>
      <w:r>
        <w:rPr>
          <w:sz w:val="28"/>
          <w:szCs w:val="28"/>
        </w:rPr>
        <w:t>овал</w:t>
      </w:r>
      <w:r w:rsidRPr="00137BB6">
        <w:rPr>
          <w:sz w:val="28"/>
          <w:szCs w:val="28"/>
        </w:rPr>
        <w:t xml:space="preserve"> о наличии</w:t>
      </w:r>
      <w:r>
        <w:rPr>
          <w:sz w:val="28"/>
          <w:szCs w:val="28"/>
        </w:rPr>
        <w:t xml:space="preserve"> воспалительного процесса, а к</w:t>
      </w:r>
      <w:r w:rsidRPr="00137BB6">
        <w:rPr>
          <w:sz w:val="28"/>
          <w:szCs w:val="28"/>
        </w:rPr>
        <w:t>ровоточивость зубодесневой борозды у большинства</w:t>
      </w:r>
      <w:r>
        <w:rPr>
          <w:sz w:val="28"/>
          <w:szCs w:val="28"/>
        </w:rPr>
        <w:t xml:space="preserve"> </w:t>
      </w:r>
      <w:r w:rsidRPr="00137BB6">
        <w:rPr>
          <w:sz w:val="28"/>
          <w:szCs w:val="28"/>
        </w:rPr>
        <w:t>пациенто</w:t>
      </w:r>
      <w:r>
        <w:rPr>
          <w:sz w:val="28"/>
          <w:szCs w:val="28"/>
        </w:rPr>
        <w:t xml:space="preserve">в имела спонтанный характер (табл. 3). </w:t>
      </w:r>
    </w:p>
    <w:p w:rsidR="00254EE8" w:rsidRPr="00BB115E" w:rsidRDefault="00254EE8" w:rsidP="004106FA">
      <w:pPr>
        <w:jc w:val="both"/>
        <w:rPr>
          <w:b/>
          <w:sz w:val="16"/>
          <w:szCs w:val="16"/>
        </w:rPr>
      </w:pPr>
    </w:p>
    <w:p w:rsidR="00254EE8" w:rsidRPr="00BB115E" w:rsidRDefault="00254EE8" w:rsidP="00920F6F">
      <w:pPr>
        <w:ind w:firstLine="284"/>
        <w:jc w:val="both"/>
        <w:rPr>
          <w:b/>
          <w:bCs/>
        </w:rPr>
      </w:pPr>
      <w:r w:rsidRPr="00BB115E">
        <w:rPr>
          <w:b/>
          <w:bCs/>
        </w:rPr>
        <w:t>Таблица 3 – Динамика индексной оценки у пациентов III группы</w:t>
      </w:r>
    </w:p>
    <w:p w:rsidR="00254EE8" w:rsidRPr="00BB115E" w:rsidRDefault="00254EE8" w:rsidP="004106FA">
      <w:pPr>
        <w:jc w:val="both"/>
        <w:rPr>
          <w:bCs/>
          <w:sz w:val="16"/>
          <w:szCs w:val="16"/>
        </w:rPr>
      </w:pPr>
    </w:p>
    <w:tbl>
      <w:tblPr>
        <w:tblW w:w="9167"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6"/>
        <w:gridCol w:w="2040"/>
        <w:gridCol w:w="2422"/>
        <w:gridCol w:w="2689"/>
      </w:tblGrid>
      <w:tr w:rsidR="00254EE8" w:rsidRPr="00886A8D" w:rsidTr="00E301ED">
        <w:trPr>
          <w:trHeight w:val="255"/>
          <w:jc w:val="center"/>
        </w:trPr>
        <w:tc>
          <w:tcPr>
            <w:tcW w:w="2016" w:type="dxa"/>
            <w:shd w:val="clear" w:color="auto" w:fill="auto"/>
            <w:noWrap/>
            <w:vAlign w:val="center"/>
          </w:tcPr>
          <w:p w:rsidR="00254EE8" w:rsidRPr="00886A8D" w:rsidRDefault="00254EE8" w:rsidP="004106FA">
            <w:pPr>
              <w:jc w:val="center"/>
              <w:rPr>
                <w:bCs/>
              </w:rPr>
            </w:pPr>
            <w:bookmarkStart w:id="0" w:name="OLE_LINK1"/>
            <w:r w:rsidRPr="00886A8D">
              <w:rPr>
                <w:bCs/>
              </w:rPr>
              <w:t>Оценочные индексы</w:t>
            </w:r>
          </w:p>
        </w:tc>
        <w:tc>
          <w:tcPr>
            <w:tcW w:w="2040" w:type="dxa"/>
            <w:shd w:val="clear" w:color="auto" w:fill="auto"/>
            <w:noWrap/>
            <w:vAlign w:val="center"/>
          </w:tcPr>
          <w:p w:rsidR="00254EE8" w:rsidRPr="00886A8D" w:rsidRDefault="00254EE8" w:rsidP="004106FA">
            <w:pPr>
              <w:jc w:val="center"/>
              <w:rPr>
                <w:bCs/>
              </w:rPr>
            </w:pPr>
            <w:r w:rsidRPr="00886A8D">
              <w:rPr>
                <w:bCs/>
              </w:rPr>
              <w:t>До лечения</w:t>
            </w:r>
          </w:p>
          <w:p w:rsidR="00254EE8" w:rsidRPr="00886A8D" w:rsidRDefault="00254EE8" w:rsidP="004106FA">
            <w:pPr>
              <w:jc w:val="center"/>
              <w:rPr>
                <w:bCs/>
              </w:rPr>
            </w:pPr>
            <w:r w:rsidRPr="00886A8D">
              <w:rPr>
                <w:bCs/>
              </w:rPr>
              <w:t>(</w:t>
            </w:r>
            <w:r w:rsidRPr="00886A8D">
              <w:rPr>
                <w:bCs/>
                <w:lang w:val="en-US"/>
              </w:rPr>
              <w:t>M</w:t>
            </w:r>
            <w:r w:rsidRPr="00886A8D">
              <w:rPr>
                <w:bCs/>
              </w:rPr>
              <w:t>±</w:t>
            </w:r>
            <w:r w:rsidRPr="00886A8D">
              <w:rPr>
                <w:bCs/>
                <w:lang w:val="en-US"/>
              </w:rPr>
              <w:t>m</w:t>
            </w:r>
            <w:r w:rsidRPr="00886A8D">
              <w:rPr>
                <w:bCs/>
              </w:rPr>
              <w:t>)</w:t>
            </w:r>
          </w:p>
        </w:tc>
        <w:tc>
          <w:tcPr>
            <w:tcW w:w="2422" w:type="dxa"/>
            <w:shd w:val="clear" w:color="auto" w:fill="auto"/>
            <w:noWrap/>
            <w:vAlign w:val="center"/>
          </w:tcPr>
          <w:p w:rsidR="00254EE8" w:rsidRPr="00886A8D" w:rsidRDefault="00254EE8" w:rsidP="004106FA">
            <w:pPr>
              <w:jc w:val="center"/>
              <w:rPr>
                <w:bCs/>
              </w:rPr>
            </w:pPr>
            <w:r w:rsidRPr="00886A8D">
              <w:rPr>
                <w:bCs/>
              </w:rPr>
              <w:t>На 10 сутки лечения</w:t>
            </w:r>
          </w:p>
          <w:p w:rsidR="00254EE8" w:rsidRPr="00886A8D" w:rsidRDefault="00254EE8" w:rsidP="004106FA">
            <w:pPr>
              <w:jc w:val="center"/>
              <w:rPr>
                <w:bCs/>
              </w:rPr>
            </w:pPr>
            <w:r w:rsidRPr="00886A8D">
              <w:rPr>
                <w:bCs/>
              </w:rPr>
              <w:t>(</w:t>
            </w:r>
            <w:r w:rsidRPr="00886A8D">
              <w:rPr>
                <w:bCs/>
                <w:lang w:val="en-US"/>
              </w:rPr>
              <w:t>M</w:t>
            </w:r>
            <w:r w:rsidRPr="00886A8D">
              <w:rPr>
                <w:bCs/>
              </w:rPr>
              <w:t>±</w:t>
            </w:r>
            <w:r w:rsidRPr="00886A8D">
              <w:rPr>
                <w:bCs/>
                <w:lang w:val="en-US"/>
              </w:rPr>
              <w:t>m</w:t>
            </w:r>
            <w:r w:rsidRPr="00886A8D">
              <w:rPr>
                <w:bCs/>
              </w:rPr>
              <w:t>)</w:t>
            </w:r>
          </w:p>
        </w:tc>
        <w:tc>
          <w:tcPr>
            <w:tcW w:w="2689" w:type="dxa"/>
            <w:shd w:val="clear" w:color="auto" w:fill="auto"/>
            <w:noWrap/>
            <w:vAlign w:val="center"/>
          </w:tcPr>
          <w:p w:rsidR="00254EE8" w:rsidRPr="00886A8D" w:rsidRDefault="00254EE8" w:rsidP="004106FA">
            <w:pPr>
              <w:jc w:val="center"/>
              <w:rPr>
                <w:bCs/>
              </w:rPr>
            </w:pPr>
            <w:r w:rsidRPr="00886A8D">
              <w:rPr>
                <w:bCs/>
              </w:rPr>
              <w:t>Через месяц после лечения</w:t>
            </w:r>
            <w:r>
              <w:rPr>
                <w:bCs/>
              </w:rPr>
              <w:t xml:space="preserve"> </w:t>
            </w:r>
            <w:r w:rsidRPr="00886A8D">
              <w:rPr>
                <w:bCs/>
              </w:rPr>
              <w:t>(</w:t>
            </w:r>
            <w:r w:rsidRPr="00886A8D">
              <w:rPr>
                <w:bCs/>
                <w:lang w:val="en-US"/>
              </w:rPr>
              <w:t>M</w:t>
            </w:r>
            <w:r w:rsidRPr="00886A8D">
              <w:rPr>
                <w:bCs/>
              </w:rPr>
              <w:t>±</w:t>
            </w:r>
            <w:r w:rsidRPr="00886A8D">
              <w:rPr>
                <w:bCs/>
                <w:lang w:val="en-US"/>
              </w:rPr>
              <w:t>m</w:t>
            </w:r>
            <w:r w:rsidRPr="00886A8D">
              <w:rPr>
                <w:bCs/>
              </w:rPr>
              <w:t>)</w:t>
            </w:r>
          </w:p>
        </w:tc>
      </w:tr>
      <w:tr w:rsidR="00254EE8" w:rsidRPr="00886A8D" w:rsidTr="00E301ED">
        <w:trPr>
          <w:trHeight w:val="255"/>
          <w:jc w:val="center"/>
        </w:trPr>
        <w:tc>
          <w:tcPr>
            <w:tcW w:w="2016" w:type="dxa"/>
            <w:shd w:val="clear" w:color="auto" w:fill="auto"/>
            <w:noWrap/>
            <w:vAlign w:val="bottom"/>
          </w:tcPr>
          <w:p w:rsidR="00254EE8" w:rsidRPr="00886A8D" w:rsidRDefault="00254EE8" w:rsidP="004106FA">
            <w:r w:rsidRPr="00886A8D">
              <w:t>Индекс Грина-Вермильона</w:t>
            </w:r>
          </w:p>
        </w:tc>
        <w:tc>
          <w:tcPr>
            <w:tcW w:w="2040" w:type="dxa"/>
            <w:shd w:val="clear" w:color="auto" w:fill="auto"/>
            <w:noWrap/>
            <w:vAlign w:val="center"/>
          </w:tcPr>
          <w:p w:rsidR="00254EE8" w:rsidRPr="00886A8D" w:rsidRDefault="00254EE8" w:rsidP="004106FA">
            <w:pPr>
              <w:jc w:val="center"/>
            </w:pPr>
            <w:r w:rsidRPr="00886A8D">
              <w:t>2,3±0,4</w:t>
            </w:r>
          </w:p>
        </w:tc>
        <w:tc>
          <w:tcPr>
            <w:tcW w:w="2422" w:type="dxa"/>
            <w:shd w:val="clear" w:color="auto" w:fill="auto"/>
            <w:noWrap/>
            <w:vAlign w:val="center"/>
          </w:tcPr>
          <w:p w:rsidR="00254EE8" w:rsidRPr="00886A8D" w:rsidRDefault="00254EE8" w:rsidP="004106FA">
            <w:pPr>
              <w:jc w:val="center"/>
              <w:rPr>
                <w:b/>
                <w:vertAlign w:val="superscript"/>
              </w:rPr>
            </w:pPr>
            <w:r w:rsidRPr="00886A8D">
              <w:t>0,3±0,4</w:t>
            </w:r>
          </w:p>
          <w:p w:rsidR="00254EE8" w:rsidRPr="00886A8D" w:rsidRDefault="00254EE8" w:rsidP="004106FA">
            <w:pPr>
              <w:jc w:val="center"/>
              <w:rPr>
                <w:b/>
              </w:rPr>
            </w:pPr>
            <w:r w:rsidRPr="00886A8D">
              <w:t>(р</w:t>
            </w:r>
            <w:r w:rsidRPr="00886A8D">
              <w:rPr>
                <w:vertAlign w:val="subscript"/>
              </w:rPr>
              <w:t>1</w:t>
            </w:r>
            <w:r w:rsidRPr="00886A8D">
              <w:t>&lt;0,001)</w:t>
            </w:r>
          </w:p>
        </w:tc>
        <w:tc>
          <w:tcPr>
            <w:tcW w:w="2689" w:type="dxa"/>
            <w:shd w:val="clear" w:color="auto" w:fill="auto"/>
            <w:noWrap/>
            <w:vAlign w:val="center"/>
          </w:tcPr>
          <w:p w:rsidR="00254EE8" w:rsidRPr="00886A8D" w:rsidRDefault="00254EE8" w:rsidP="004106FA">
            <w:pPr>
              <w:jc w:val="center"/>
            </w:pPr>
            <w:r w:rsidRPr="00886A8D">
              <w:t>0,4±0,3</w:t>
            </w:r>
          </w:p>
          <w:p w:rsidR="00254EE8" w:rsidRPr="00886A8D" w:rsidRDefault="00254EE8" w:rsidP="004106FA">
            <w:pPr>
              <w:jc w:val="center"/>
              <w:rPr>
                <w:b/>
              </w:rPr>
            </w:pPr>
            <w:r w:rsidRPr="00886A8D">
              <w:t>(р</w:t>
            </w:r>
            <w:r w:rsidRPr="00886A8D">
              <w:rPr>
                <w:vertAlign w:val="subscript"/>
              </w:rPr>
              <w:t>2</w:t>
            </w:r>
            <w:r w:rsidRPr="00886A8D">
              <w:t>&lt;0,001)</w:t>
            </w:r>
          </w:p>
        </w:tc>
      </w:tr>
      <w:tr w:rsidR="00254EE8" w:rsidRPr="00886A8D" w:rsidTr="00E301ED">
        <w:trPr>
          <w:trHeight w:val="255"/>
          <w:jc w:val="center"/>
        </w:trPr>
        <w:tc>
          <w:tcPr>
            <w:tcW w:w="2016" w:type="dxa"/>
            <w:shd w:val="clear" w:color="auto" w:fill="auto"/>
            <w:noWrap/>
            <w:vAlign w:val="bottom"/>
          </w:tcPr>
          <w:p w:rsidR="00254EE8" w:rsidRPr="00886A8D" w:rsidRDefault="00254EE8" w:rsidP="004106FA">
            <w:r w:rsidRPr="00886A8D">
              <w:t>Индекс Рассела</w:t>
            </w:r>
          </w:p>
        </w:tc>
        <w:tc>
          <w:tcPr>
            <w:tcW w:w="2040" w:type="dxa"/>
            <w:shd w:val="clear" w:color="auto" w:fill="auto"/>
            <w:noWrap/>
            <w:vAlign w:val="center"/>
          </w:tcPr>
          <w:p w:rsidR="00254EE8" w:rsidRPr="00886A8D" w:rsidRDefault="00254EE8" w:rsidP="004106FA">
            <w:pPr>
              <w:jc w:val="center"/>
            </w:pPr>
            <w:r w:rsidRPr="00886A8D">
              <w:t>2,7±0,5</w:t>
            </w:r>
          </w:p>
        </w:tc>
        <w:tc>
          <w:tcPr>
            <w:tcW w:w="2422" w:type="dxa"/>
            <w:shd w:val="clear" w:color="auto" w:fill="auto"/>
            <w:noWrap/>
            <w:vAlign w:val="center"/>
          </w:tcPr>
          <w:p w:rsidR="00254EE8" w:rsidRPr="00886A8D" w:rsidRDefault="00254EE8" w:rsidP="004106FA">
            <w:pPr>
              <w:jc w:val="center"/>
              <w:rPr>
                <w:b/>
              </w:rPr>
            </w:pPr>
            <w:r w:rsidRPr="00886A8D">
              <w:t>0,9±0,4</w:t>
            </w:r>
          </w:p>
          <w:p w:rsidR="00254EE8" w:rsidRPr="00886A8D" w:rsidRDefault="00254EE8" w:rsidP="004106FA">
            <w:pPr>
              <w:jc w:val="center"/>
            </w:pPr>
            <w:r w:rsidRPr="00886A8D">
              <w:t>(р</w:t>
            </w:r>
            <w:r w:rsidRPr="00886A8D">
              <w:rPr>
                <w:vertAlign w:val="subscript"/>
              </w:rPr>
              <w:t>1</w:t>
            </w:r>
            <w:r w:rsidRPr="00886A8D">
              <w:t>&lt;0,0</w:t>
            </w:r>
            <w:r>
              <w:t>0</w:t>
            </w:r>
            <w:r w:rsidRPr="00886A8D">
              <w:t>1)</w:t>
            </w:r>
          </w:p>
        </w:tc>
        <w:tc>
          <w:tcPr>
            <w:tcW w:w="2689" w:type="dxa"/>
            <w:shd w:val="clear" w:color="auto" w:fill="auto"/>
            <w:noWrap/>
            <w:vAlign w:val="center"/>
          </w:tcPr>
          <w:p w:rsidR="00254EE8" w:rsidRPr="00886A8D" w:rsidRDefault="00254EE8" w:rsidP="004106FA">
            <w:pPr>
              <w:jc w:val="center"/>
            </w:pPr>
            <w:r w:rsidRPr="00886A8D">
              <w:t>1,0±0,5</w:t>
            </w:r>
          </w:p>
          <w:p w:rsidR="00254EE8" w:rsidRPr="00886A8D" w:rsidRDefault="00254EE8" w:rsidP="004106FA">
            <w:pPr>
              <w:jc w:val="center"/>
            </w:pPr>
            <w:r w:rsidRPr="00886A8D">
              <w:t>(р</w:t>
            </w:r>
            <w:r w:rsidRPr="00886A8D">
              <w:rPr>
                <w:vertAlign w:val="subscript"/>
              </w:rPr>
              <w:t>2</w:t>
            </w:r>
            <w:r w:rsidRPr="00886A8D">
              <w:t>&lt;0,0</w:t>
            </w:r>
            <w:r>
              <w:t>0</w:t>
            </w:r>
            <w:r w:rsidRPr="00886A8D">
              <w:t>5)</w:t>
            </w:r>
          </w:p>
        </w:tc>
      </w:tr>
      <w:tr w:rsidR="00254EE8" w:rsidRPr="00886A8D" w:rsidTr="00E301ED">
        <w:trPr>
          <w:trHeight w:val="255"/>
          <w:jc w:val="center"/>
        </w:trPr>
        <w:tc>
          <w:tcPr>
            <w:tcW w:w="2016" w:type="dxa"/>
            <w:shd w:val="clear" w:color="auto" w:fill="auto"/>
            <w:noWrap/>
            <w:vAlign w:val="bottom"/>
          </w:tcPr>
          <w:p w:rsidR="00254EE8" w:rsidRPr="00886A8D" w:rsidRDefault="00254EE8" w:rsidP="004106FA">
            <w:r w:rsidRPr="00886A8D">
              <w:t>Индекс Мюлемана</w:t>
            </w:r>
          </w:p>
        </w:tc>
        <w:tc>
          <w:tcPr>
            <w:tcW w:w="2040" w:type="dxa"/>
            <w:shd w:val="clear" w:color="auto" w:fill="auto"/>
            <w:noWrap/>
            <w:vAlign w:val="center"/>
          </w:tcPr>
          <w:p w:rsidR="00254EE8" w:rsidRPr="00886A8D" w:rsidRDefault="00254EE8" w:rsidP="004106FA">
            <w:pPr>
              <w:jc w:val="center"/>
            </w:pPr>
            <w:r w:rsidRPr="00886A8D">
              <w:t>2,2±0,3</w:t>
            </w:r>
          </w:p>
        </w:tc>
        <w:tc>
          <w:tcPr>
            <w:tcW w:w="2422" w:type="dxa"/>
            <w:shd w:val="clear" w:color="auto" w:fill="auto"/>
            <w:noWrap/>
            <w:vAlign w:val="center"/>
          </w:tcPr>
          <w:p w:rsidR="00254EE8" w:rsidRPr="00886A8D" w:rsidRDefault="00254EE8" w:rsidP="004106FA">
            <w:pPr>
              <w:jc w:val="center"/>
              <w:rPr>
                <w:b/>
              </w:rPr>
            </w:pPr>
            <w:r w:rsidRPr="00886A8D">
              <w:t>0,2±0,3</w:t>
            </w:r>
          </w:p>
          <w:p w:rsidR="00254EE8" w:rsidRPr="00886A8D" w:rsidRDefault="00254EE8" w:rsidP="004106FA">
            <w:pPr>
              <w:jc w:val="center"/>
            </w:pPr>
            <w:r w:rsidRPr="00886A8D">
              <w:t>(р</w:t>
            </w:r>
            <w:r w:rsidRPr="00886A8D">
              <w:rPr>
                <w:vertAlign w:val="subscript"/>
              </w:rPr>
              <w:t>1</w:t>
            </w:r>
            <w:r w:rsidRPr="00886A8D">
              <w:t>&lt;0,001)</w:t>
            </w:r>
          </w:p>
        </w:tc>
        <w:tc>
          <w:tcPr>
            <w:tcW w:w="2689" w:type="dxa"/>
            <w:shd w:val="clear" w:color="auto" w:fill="auto"/>
            <w:noWrap/>
            <w:vAlign w:val="center"/>
          </w:tcPr>
          <w:p w:rsidR="00254EE8" w:rsidRPr="00886A8D" w:rsidRDefault="00254EE8" w:rsidP="004106FA">
            <w:pPr>
              <w:jc w:val="center"/>
              <w:rPr>
                <w:b/>
              </w:rPr>
            </w:pPr>
            <w:r w:rsidRPr="00886A8D">
              <w:t>0,4±0,4</w:t>
            </w:r>
          </w:p>
          <w:p w:rsidR="00254EE8" w:rsidRPr="00886A8D" w:rsidRDefault="00254EE8" w:rsidP="004106FA">
            <w:pPr>
              <w:jc w:val="center"/>
            </w:pPr>
            <w:r w:rsidRPr="00886A8D">
              <w:t>(р</w:t>
            </w:r>
            <w:r w:rsidRPr="00886A8D">
              <w:rPr>
                <w:vertAlign w:val="subscript"/>
              </w:rPr>
              <w:t>2</w:t>
            </w:r>
            <w:r w:rsidRPr="00886A8D">
              <w:t>&lt;0,001)</w:t>
            </w:r>
          </w:p>
        </w:tc>
      </w:tr>
      <w:bookmarkEnd w:id="0"/>
    </w:tbl>
    <w:p w:rsidR="00254EE8" w:rsidRPr="00BB115E" w:rsidRDefault="00254EE8" w:rsidP="004106FA">
      <w:pPr>
        <w:jc w:val="both"/>
        <w:rPr>
          <w:b/>
          <w:sz w:val="16"/>
          <w:szCs w:val="16"/>
        </w:rPr>
      </w:pPr>
    </w:p>
    <w:p w:rsidR="00254EE8" w:rsidRPr="00886A8D" w:rsidRDefault="00254EE8" w:rsidP="004106FA">
      <w:pPr>
        <w:jc w:val="both"/>
      </w:pPr>
      <w:r w:rsidRPr="00886A8D">
        <w:rPr>
          <w:b/>
        </w:rPr>
        <w:t>Примечание</w:t>
      </w:r>
      <w:r w:rsidRPr="00886A8D">
        <w:t>: р</w:t>
      </w:r>
      <w:r w:rsidRPr="00886A8D">
        <w:rPr>
          <w:vertAlign w:val="subscript"/>
        </w:rPr>
        <w:t>1</w:t>
      </w:r>
      <w:r w:rsidRPr="00886A8D">
        <w:t xml:space="preserve">, </w:t>
      </w:r>
      <w:r w:rsidRPr="00886A8D">
        <w:rPr>
          <w:lang w:val="en-US"/>
        </w:rPr>
        <w:t>p</w:t>
      </w:r>
      <w:r w:rsidRPr="00886A8D">
        <w:rPr>
          <w:vertAlign w:val="subscript"/>
        </w:rPr>
        <w:t>2</w:t>
      </w:r>
      <w:r w:rsidRPr="00886A8D">
        <w:t xml:space="preserve"> – достоверность различий по отношению к показателям до лечения</w:t>
      </w:r>
    </w:p>
    <w:p w:rsidR="00254EE8" w:rsidRPr="00886A8D" w:rsidRDefault="00254EE8" w:rsidP="004106FA">
      <w:pPr>
        <w:jc w:val="both"/>
        <w:rPr>
          <w:sz w:val="16"/>
          <w:szCs w:val="16"/>
        </w:rPr>
      </w:pPr>
    </w:p>
    <w:p w:rsidR="00254EE8" w:rsidRDefault="00254EE8" w:rsidP="004106FA">
      <w:pPr>
        <w:ind w:firstLine="708"/>
        <w:jc w:val="both"/>
        <w:rPr>
          <w:sz w:val="28"/>
          <w:szCs w:val="28"/>
        </w:rPr>
      </w:pPr>
      <w:r>
        <w:rPr>
          <w:sz w:val="28"/>
          <w:szCs w:val="28"/>
        </w:rPr>
        <w:t>Н</w:t>
      </w:r>
      <w:r w:rsidRPr="00137BB6">
        <w:rPr>
          <w:sz w:val="28"/>
          <w:szCs w:val="28"/>
        </w:rPr>
        <w:t>а первые сутки после начала лечения был</w:t>
      </w:r>
      <w:r>
        <w:rPr>
          <w:sz w:val="28"/>
          <w:szCs w:val="28"/>
        </w:rPr>
        <w:t>а</w:t>
      </w:r>
      <w:r w:rsidRPr="00137BB6">
        <w:rPr>
          <w:sz w:val="28"/>
          <w:szCs w:val="28"/>
        </w:rPr>
        <w:t xml:space="preserve"> выявлен</w:t>
      </w:r>
      <w:r>
        <w:rPr>
          <w:sz w:val="28"/>
          <w:szCs w:val="28"/>
        </w:rPr>
        <w:t>а</w:t>
      </w:r>
      <w:r w:rsidRPr="00137BB6">
        <w:rPr>
          <w:sz w:val="28"/>
          <w:szCs w:val="28"/>
        </w:rPr>
        <w:t xml:space="preserve"> гиперемия десны</w:t>
      </w:r>
      <w:r>
        <w:rPr>
          <w:sz w:val="28"/>
          <w:szCs w:val="28"/>
        </w:rPr>
        <w:t>, которая</w:t>
      </w:r>
      <w:r w:rsidRPr="00137BB6">
        <w:rPr>
          <w:sz w:val="28"/>
          <w:szCs w:val="28"/>
        </w:rPr>
        <w:t xml:space="preserve"> наблюдалась у всех пациентов,</w:t>
      </w:r>
      <w:r>
        <w:rPr>
          <w:sz w:val="28"/>
          <w:szCs w:val="28"/>
        </w:rPr>
        <w:t xml:space="preserve"> при этом по своему характеру не являлась </w:t>
      </w:r>
      <w:r w:rsidRPr="00137BB6">
        <w:rPr>
          <w:sz w:val="28"/>
          <w:szCs w:val="28"/>
        </w:rPr>
        <w:t>застойной. Отек десневого края наблюдался у большинства пациентов. Исследуя содержимое пародонтальных карманов, мы выявля</w:t>
      </w:r>
      <w:r>
        <w:rPr>
          <w:sz w:val="28"/>
          <w:szCs w:val="28"/>
        </w:rPr>
        <w:t>ли</w:t>
      </w:r>
      <w:r w:rsidRPr="00137BB6">
        <w:rPr>
          <w:sz w:val="28"/>
          <w:szCs w:val="28"/>
        </w:rPr>
        <w:t xml:space="preserve"> </w:t>
      </w:r>
      <w:r>
        <w:rPr>
          <w:sz w:val="28"/>
          <w:szCs w:val="28"/>
        </w:rPr>
        <w:t>уменьшение количество пациентов с</w:t>
      </w:r>
      <w:r w:rsidRPr="00137BB6">
        <w:rPr>
          <w:sz w:val="28"/>
          <w:szCs w:val="28"/>
        </w:rPr>
        <w:t xml:space="preserve"> гно</w:t>
      </w:r>
      <w:r>
        <w:rPr>
          <w:sz w:val="28"/>
          <w:szCs w:val="28"/>
        </w:rPr>
        <w:t>йным</w:t>
      </w:r>
      <w:r w:rsidRPr="00137BB6">
        <w:rPr>
          <w:sz w:val="28"/>
          <w:szCs w:val="28"/>
        </w:rPr>
        <w:t xml:space="preserve"> экссудат</w:t>
      </w:r>
      <w:r>
        <w:rPr>
          <w:sz w:val="28"/>
          <w:szCs w:val="28"/>
        </w:rPr>
        <w:t>ом. При этом у всех пациентов выявлялся экссудат серозного характера</w:t>
      </w:r>
      <w:r w:rsidRPr="00137BB6">
        <w:rPr>
          <w:sz w:val="28"/>
          <w:szCs w:val="28"/>
        </w:rPr>
        <w:t>.</w:t>
      </w:r>
      <w:r>
        <w:rPr>
          <w:sz w:val="28"/>
          <w:szCs w:val="28"/>
        </w:rPr>
        <w:t xml:space="preserve"> </w:t>
      </w:r>
      <w:r w:rsidRPr="00137BB6">
        <w:rPr>
          <w:sz w:val="28"/>
          <w:szCs w:val="28"/>
        </w:rPr>
        <w:t xml:space="preserve">После пятого сеанса мы наблюдали сохранение гиперемии десны у всех пациентов, отек значительно уменьшился, </w:t>
      </w:r>
      <w:r>
        <w:rPr>
          <w:sz w:val="28"/>
          <w:szCs w:val="28"/>
        </w:rPr>
        <w:t>увеличилось количество пациентов,</w:t>
      </w:r>
      <w:r w:rsidRPr="00137BB6">
        <w:rPr>
          <w:sz w:val="28"/>
          <w:szCs w:val="28"/>
        </w:rPr>
        <w:t xml:space="preserve"> в пародонтальных карманах</w:t>
      </w:r>
      <w:r>
        <w:rPr>
          <w:sz w:val="28"/>
          <w:szCs w:val="28"/>
        </w:rPr>
        <w:t xml:space="preserve"> которых выявлялся</w:t>
      </w:r>
      <w:r w:rsidRPr="00137BB6">
        <w:rPr>
          <w:sz w:val="28"/>
          <w:szCs w:val="28"/>
        </w:rPr>
        <w:t xml:space="preserve"> гнойный экссудат.</w:t>
      </w:r>
      <w:r>
        <w:rPr>
          <w:sz w:val="28"/>
          <w:szCs w:val="28"/>
        </w:rPr>
        <w:t xml:space="preserve"> </w:t>
      </w:r>
      <w:r w:rsidRPr="00137BB6">
        <w:rPr>
          <w:sz w:val="28"/>
          <w:szCs w:val="28"/>
        </w:rPr>
        <w:t>В течение курса лазеротерапии состояние пародонта у пациентов исследуемой группы постепенно улучшалось.</w:t>
      </w:r>
      <w:r>
        <w:rPr>
          <w:sz w:val="28"/>
          <w:szCs w:val="28"/>
        </w:rPr>
        <w:t xml:space="preserve"> Так, п</w:t>
      </w:r>
      <w:r w:rsidRPr="00137BB6">
        <w:rPr>
          <w:sz w:val="28"/>
          <w:szCs w:val="28"/>
        </w:rPr>
        <w:t xml:space="preserve">осле десяти сеансов лечения состояние пародонта у пациентов значительно улучшилось, гиперемия десны сохранилась у </w:t>
      </w:r>
      <w:r>
        <w:rPr>
          <w:sz w:val="28"/>
          <w:szCs w:val="28"/>
        </w:rPr>
        <w:t>7</w:t>
      </w:r>
      <w:r w:rsidRPr="00137BB6">
        <w:rPr>
          <w:sz w:val="28"/>
          <w:szCs w:val="28"/>
        </w:rPr>
        <w:t xml:space="preserve"> пациентов, гнойного экссудата не обнаружен ни у одного пациента, серозный экссудат </w:t>
      </w:r>
      <w:r>
        <w:rPr>
          <w:sz w:val="28"/>
          <w:szCs w:val="28"/>
        </w:rPr>
        <w:t xml:space="preserve">был </w:t>
      </w:r>
      <w:r w:rsidRPr="00137BB6">
        <w:rPr>
          <w:sz w:val="28"/>
          <w:szCs w:val="28"/>
        </w:rPr>
        <w:t xml:space="preserve">выявлен у </w:t>
      </w:r>
      <w:r>
        <w:rPr>
          <w:sz w:val="28"/>
          <w:szCs w:val="28"/>
        </w:rPr>
        <w:t>9</w:t>
      </w:r>
      <w:r w:rsidRPr="00137BB6">
        <w:rPr>
          <w:sz w:val="28"/>
          <w:szCs w:val="28"/>
        </w:rPr>
        <w:t xml:space="preserve"> пациентов.</w:t>
      </w:r>
      <w:r>
        <w:rPr>
          <w:sz w:val="28"/>
          <w:szCs w:val="28"/>
        </w:rPr>
        <w:t xml:space="preserve"> </w:t>
      </w:r>
      <w:r w:rsidRPr="00137BB6">
        <w:rPr>
          <w:sz w:val="28"/>
          <w:szCs w:val="28"/>
        </w:rPr>
        <w:t xml:space="preserve">Через 1 месяц после </w:t>
      </w:r>
      <w:r>
        <w:rPr>
          <w:sz w:val="28"/>
          <w:szCs w:val="28"/>
        </w:rPr>
        <w:t>проведенного</w:t>
      </w:r>
      <w:r w:rsidRPr="00137BB6">
        <w:rPr>
          <w:sz w:val="28"/>
          <w:szCs w:val="28"/>
        </w:rPr>
        <w:t xml:space="preserve"> курса </w:t>
      </w:r>
      <w:r>
        <w:rPr>
          <w:sz w:val="28"/>
          <w:szCs w:val="28"/>
        </w:rPr>
        <w:t>лечения</w:t>
      </w:r>
      <w:r w:rsidRPr="00137BB6">
        <w:rPr>
          <w:sz w:val="28"/>
          <w:szCs w:val="28"/>
        </w:rPr>
        <w:t xml:space="preserve"> клиническая картина у пациентов </w:t>
      </w:r>
      <w:r>
        <w:rPr>
          <w:sz w:val="28"/>
          <w:szCs w:val="28"/>
        </w:rPr>
        <w:t>данной</w:t>
      </w:r>
      <w:r w:rsidRPr="00137BB6">
        <w:rPr>
          <w:sz w:val="28"/>
          <w:szCs w:val="28"/>
        </w:rPr>
        <w:t xml:space="preserve"> группы</w:t>
      </w:r>
      <w:r>
        <w:rPr>
          <w:sz w:val="28"/>
          <w:szCs w:val="28"/>
        </w:rPr>
        <w:t xml:space="preserve">, так же как и в других группах, незначительно </w:t>
      </w:r>
      <w:r w:rsidRPr="00137BB6">
        <w:rPr>
          <w:sz w:val="28"/>
          <w:szCs w:val="28"/>
        </w:rPr>
        <w:t>изменилась в худшую сторон</w:t>
      </w:r>
      <w:r>
        <w:rPr>
          <w:sz w:val="28"/>
          <w:szCs w:val="28"/>
        </w:rPr>
        <w:t xml:space="preserve">у по отношению к 10-м суткам лечения, но при этом оставалась стабильной, характеризуя эффективность проведенного лечения. </w:t>
      </w:r>
    </w:p>
    <w:p w:rsidR="00254EE8" w:rsidRDefault="00254EE8" w:rsidP="004106FA">
      <w:pPr>
        <w:ind w:firstLine="708"/>
        <w:jc w:val="both"/>
        <w:rPr>
          <w:sz w:val="28"/>
          <w:szCs w:val="28"/>
        </w:rPr>
      </w:pPr>
      <w:r>
        <w:rPr>
          <w:sz w:val="28"/>
          <w:szCs w:val="28"/>
        </w:rPr>
        <w:t>Используя</w:t>
      </w:r>
      <w:r w:rsidRPr="00137BB6">
        <w:rPr>
          <w:sz w:val="28"/>
          <w:szCs w:val="28"/>
        </w:rPr>
        <w:t xml:space="preserve"> лазер</w:t>
      </w:r>
      <w:r>
        <w:rPr>
          <w:sz w:val="28"/>
          <w:szCs w:val="28"/>
        </w:rPr>
        <w:t>ное излучение</w:t>
      </w:r>
      <w:r w:rsidRPr="00137BB6">
        <w:rPr>
          <w:sz w:val="28"/>
          <w:szCs w:val="28"/>
        </w:rPr>
        <w:t xml:space="preserve"> в предложенном нами режиме, в</w:t>
      </w:r>
      <w:r>
        <w:rPr>
          <w:sz w:val="28"/>
          <w:szCs w:val="28"/>
        </w:rPr>
        <w:t xml:space="preserve"> </w:t>
      </w:r>
      <w:r w:rsidRPr="00137BB6">
        <w:rPr>
          <w:sz w:val="28"/>
          <w:szCs w:val="28"/>
        </w:rPr>
        <w:t xml:space="preserve">отношении бактероидов не </w:t>
      </w:r>
      <w:r>
        <w:rPr>
          <w:sz w:val="28"/>
          <w:szCs w:val="28"/>
        </w:rPr>
        <w:t xml:space="preserve">было выявлено положительного эффекта. </w:t>
      </w:r>
      <w:r w:rsidRPr="00137BB6">
        <w:rPr>
          <w:sz w:val="28"/>
          <w:szCs w:val="28"/>
        </w:rPr>
        <w:t>Энтерококки</w:t>
      </w:r>
      <w:r>
        <w:rPr>
          <w:sz w:val="28"/>
          <w:szCs w:val="28"/>
        </w:rPr>
        <w:t xml:space="preserve"> </w:t>
      </w:r>
      <w:r w:rsidRPr="00137BB6">
        <w:rPr>
          <w:sz w:val="28"/>
          <w:szCs w:val="28"/>
        </w:rPr>
        <w:t>уменьшились</w:t>
      </w:r>
      <w:r>
        <w:rPr>
          <w:sz w:val="28"/>
          <w:szCs w:val="28"/>
        </w:rPr>
        <w:t xml:space="preserve"> всего</w:t>
      </w:r>
      <w:r w:rsidRPr="00137BB6">
        <w:rPr>
          <w:sz w:val="28"/>
          <w:szCs w:val="28"/>
        </w:rPr>
        <w:t xml:space="preserve"> на </w:t>
      </w:r>
      <w:r>
        <w:rPr>
          <w:sz w:val="28"/>
          <w:szCs w:val="28"/>
        </w:rPr>
        <w:t>6,7</w:t>
      </w:r>
      <w:r w:rsidRPr="00137BB6">
        <w:rPr>
          <w:sz w:val="28"/>
          <w:szCs w:val="28"/>
        </w:rPr>
        <w:t>%,</w:t>
      </w:r>
      <w:r>
        <w:rPr>
          <w:sz w:val="28"/>
          <w:szCs w:val="28"/>
        </w:rPr>
        <w:t xml:space="preserve"> а</w:t>
      </w:r>
      <w:r w:rsidRPr="00137BB6">
        <w:rPr>
          <w:sz w:val="28"/>
          <w:szCs w:val="28"/>
        </w:rPr>
        <w:t xml:space="preserve"> </w:t>
      </w:r>
      <w:r>
        <w:rPr>
          <w:sz w:val="28"/>
          <w:szCs w:val="28"/>
        </w:rPr>
        <w:t xml:space="preserve">стрептококков - </w:t>
      </w:r>
      <w:r w:rsidRPr="00137BB6">
        <w:rPr>
          <w:sz w:val="28"/>
          <w:szCs w:val="28"/>
        </w:rPr>
        <w:t xml:space="preserve">на 2,1%. </w:t>
      </w:r>
    </w:p>
    <w:p w:rsidR="00254EE8" w:rsidRDefault="00254EE8" w:rsidP="004106FA">
      <w:pPr>
        <w:ind w:firstLine="708"/>
        <w:jc w:val="both"/>
        <w:rPr>
          <w:sz w:val="28"/>
          <w:szCs w:val="28"/>
        </w:rPr>
      </w:pPr>
      <w:r w:rsidRPr="008701CC">
        <w:rPr>
          <w:i/>
          <w:sz w:val="28"/>
          <w:szCs w:val="28"/>
        </w:rPr>
        <w:t>Оценка эффективности лазеротерапии и антимикробной терапии ровамицином.</w:t>
      </w:r>
      <w:r>
        <w:rPr>
          <w:sz w:val="28"/>
          <w:szCs w:val="28"/>
        </w:rPr>
        <w:t xml:space="preserve"> </w:t>
      </w:r>
      <w:r w:rsidRPr="00137BB6">
        <w:rPr>
          <w:sz w:val="28"/>
          <w:szCs w:val="28"/>
        </w:rPr>
        <w:t xml:space="preserve">В четвертой исследуемой группе проводилось комбинированное лечение, представленное сочетанием лазеротерапии </w:t>
      </w:r>
      <w:r w:rsidRPr="00E77029">
        <w:rPr>
          <w:sz w:val="28"/>
          <w:szCs w:val="28"/>
        </w:rPr>
        <w:t>и антимикробной терапии ровамицином</w:t>
      </w:r>
      <w:r>
        <w:rPr>
          <w:sz w:val="28"/>
          <w:szCs w:val="28"/>
        </w:rPr>
        <w:t xml:space="preserve">. Также, до лечения, в конце лечения (10 день лечения) и спустя месяц после лечения у всех пациентов проводилась оценка клинической картины с использованием индексов </w:t>
      </w:r>
      <w:r w:rsidRPr="00137BB6">
        <w:rPr>
          <w:sz w:val="28"/>
          <w:szCs w:val="28"/>
        </w:rPr>
        <w:t>Грина-Вермильона</w:t>
      </w:r>
      <w:r>
        <w:rPr>
          <w:sz w:val="28"/>
          <w:szCs w:val="28"/>
        </w:rPr>
        <w:t>, Рассела и Мюлемана (табл. 4).</w:t>
      </w:r>
    </w:p>
    <w:p w:rsidR="00254EE8" w:rsidRDefault="00254EE8" w:rsidP="00920F6F">
      <w:pPr>
        <w:ind w:firstLine="142"/>
        <w:jc w:val="both"/>
        <w:rPr>
          <w:b/>
          <w:bCs/>
        </w:rPr>
      </w:pPr>
      <w:r w:rsidRPr="00BB115E">
        <w:rPr>
          <w:b/>
          <w:bCs/>
        </w:rPr>
        <w:lastRenderedPageBreak/>
        <w:t>Таблица 4 – Динамика индекс</w:t>
      </w:r>
      <w:r>
        <w:rPr>
          <w:b/>
          <w:bCs/>
        </w:rPr>
        <w:t>ной</w:t>
      </w:r>
      <w:r w:rsidRPr="00BB115E">
        <w:rPr>
          <w:b/>
          <w:bCs/>
        </w:rPr>
        <w:t xml:space="preserve"> оценки у пациентов I</w:t>
      </w:r>
      <w:r w:rsidRPr="00BB115E">
        <w:rPr>
          <w:b/>
          <w:bCs/>
          <w:lang w:val="en-US"/>
        </w:rPr>
        <w:t>V</w:t>
      </w:r>
      <w:r w:rsidRPr="00BB115E">
        <w:rPr>
          <w:b/>
          <w:bCs/>
        </w:rPr>
        <w:t xml:space="preserve"> группы</w:t>
      </w:r>
    </w:p>
    <w:p w:rsidR="00254EE8" w:rsidRPr="00BB115E" w:rsidRDefault="00254EE8" w:rsidP="004106FA">
      <w:pPr>
        <w:jc w:val="both"/>
        <w:rPr>
          <w:b/>
          <w:bCs/>
          <w:sz w:val="16"/>
          <w:szCs w:val="16"/>
        </w:rPr>
      </w:pPr>
    </w:p>
    <w:tbl>
      <w:tblPr>
        <w:tblW w:w="9216"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6"/>
        <w:gridCol w:w="1800"/>
        <w:gridCol w:w="2760"/>
        <w:gridCol w:w="2640"/>
      </w:tblGrid>
      <w:tr w:rsidR="00254EE8" w:rsidRPr="00886A8D" w:rsidTr="00E301ED">
        <w:trPr>
          <w:trHeight w:val="255"/>
          <w:jc w:val="center"/>
        </w:trPr>
        <w:tc>
          <w:tcPr>
            <w:tcW w:w="2016" w:type="dxa"/>
            <w:shd w:val="clear" w:color="auto" w:fill="auto"/>
            <w:noWrap/>
            <w:vAlign w:val="center"/>
          </w:tcPr>
          <w:p w:rsidR="00254EE8" w:rsidRPr="00886A8D" w:rsidRDefault="00254EE8" w:rsidP="004106FA">
            <w:pPr>
              <w:jc w:val="center"/>
              <w:rPr>
                <w:bCs/>
              </w:rPr>
            </w:pPr>
            <w:r w:rsidRPr="00886A8D">
              <w:rPr>
                <w:bCs/>
              </w:rPr>
              <w:t>Оценочные индексы</w:t>
            </w:r>
          </w:p>
        </w:tc>
        <w:tc>
          <w:tcPr>
            <w:tcW w:w="1800" w:type="dxa"/>
            <w:shd w:val="clear" w:color="auto" w:fill="auto"/>
            <w:noWrap/>
            <w:vAlign w:val="center"/>
          </w:tcPr>
          <w:p w:rsidR="00254EE8" w:rsidRPr="00886A8D" w:rsidRDefault="00254EE8" w:rsidP="004106FA">
            <w:pPr>
              <w:jc w:val="center"/>
              <w:rPr>
                <w:bCs/>
              </w:rPr>
            </w:pPr>
            <w:r w:rsidRPr="00886A8D">
              <w:rPr>
                <w:bCs/>
              </w:rPr>
              <w:t>До лечения</w:t>
            </w:r>
          </w:p>
          <w:p w:rsidR="00254EE8" w:rsidRPr="00886A8D" w:rsidRDefault="00254EE8" w:rsidP="004106FA">
            <w:pPr>
              <w:jc w:val="center"/>
              <w:rPr>
                <w:bCs/>
                <w:lang w:val="en-US"/>
              </w:rPr>
            </w:pPr>
            <w:r w:rsidRPr="00886A8D">
              <w:rPr>
                <w:bCs/>
                <w:lang w:val="en-US"/>
              </w:rPr>
              <w:t>(M</w:t>
            </w:r>
            <w:r w:rsidRPr="00886A8D">
              <w:rPr>
                <w:bCs/>
              </w:rPr>
              <w:t>±</w:t>
            </w:r>
            <w:r w:rsidRPr="00886A8D">
              <w:rPr>
                <w:bCs/>
                <w:lang w:val="en-US"/>
              </w:rPr>
              <w:t>m)</w:t>
            </w:r>
          </w:p>
        </w:tc>
        <w:tc>
          <w:tcPr>
            <w:tcW w:w="2760" w:type="dxa"/>
            <w:shd w:val="clear" w:color="auto" w:fill="auto"/>
            <w:noWrap/>
            <w:vAlign w:val="center"/>
          </w:tcPr>
          <w:p w:rsidR="00254EE8" w:rsidRPr="00886A8D" w:rsidRDefault="00254EE8" w:rsidP="004106FA">
            <w:pPr>
              <w:jc w:val="center"/>
              <w:rPr>
                <w:bCs/>
              </w:rPr>
            </w:pPr>
            <w:r w:rsidRPr="00886A8D">
              <w:rPr>
                <w:bCs/>
              </w:rPr>
              <w:t>На 10 сутки лечения</w:t>
            </w:r>
          </w:p>
          <w:p w:rsidR="00254EE8" w:rsidRPr="00886A8D" w:rsidRDefault="00254EE8" w:rsidP="004106FA">
            <w:pPr>
              <w:jc w:val="center"/>
              <w:rPr>
                <w:bCs/>
              </w:rPr>
            </w:pPr>
            <w:r w:rsidRPr="00886A8D">
              <w:rPr>
                <w:bCs/>
              </w:rPr>
              <w:t>(</w:t>
            </w:r>
            <w:r w:rsidRPr="00886A8D">
              <w:rPr>
                <w:bCs/>
                <w:lang w:val="en-US"/>
              </w:rPr>
              <w:t>M</w:t>
            </w:r>
            <w:r w:rsidRPr="00886A8D">
              <w:rPr>
                <w:bCs/>
              </w:rPr>
              <w:t>±</w:t>
            </w:r>
            <w:r w:rsidRPr="00886A8D">
              <w:rPr>
                <w:bCs/>
                <w:lang w:val="en-US"/>
              </w:rPr>
              <w:t>m</w:t>
            </w:r>
            <w:r w:rsidRPr="00886A8D">
              <w:rPr>
                <w:bCs/>
              </w:rPr>
              <w:t>)</w:t>
            </w:r>
          </w:p>
        </w:tc>
        <w:tc>
          <w:tcPr>
            <w:tcW w:w="2640" w:type="dxa"/>
            <w:shd w:val="clear" w:color="auto" w:fill="auto"/>
            <w:noWrap/>
            <w:vAlign w:val="center"/>
          </w:tcPr>
          <w:p w:rsidR="00254EE8" w:rsidRDefault="00254EE8" w:rsidP="004106FA">
            <w:pPr>
              <w:jc w:val="center"/>
              <w:rPr>
                <w:bCs/>
              </w:rPr>
            </w:pPr>
            <w:r>
              <w:rPr>
                <w:bCs/>
              </w:rPr>
              <w:t>Через месяц после</w:t>
            </w:r>
          </w:p>
          <w:p w:rsidR="00254EE8" w:rsidRPr="00886A8D" w:rsidRDefault="00254EE8" w:rsidP="004106FA">
            <w:pPr>
              <w:jc w:val="center"/>
              <w:rPr>
                <w:bCs/>
              </w:rPr>
            </w:pPr>
            <w:r>
              <w:rPr>
                <w:bCs/>
              </w:rPr>
              <w:t>л</w:t>
            </w:r>
            <w:r w:rsidRPr="00886A8D">
              <w:rPr>
                <w:bCs/>
              </w:rPr>
              <w:t>ечения</w:t>
            </w:r>
            <w:r>
              <w:rPr>
                <w:bCs/>
              </w:rPr>
              <w:t xml:space="preserve"> </w:t>
            </w:r>
            <w:r w:rsidRPr="00886A8D">
              <w:rPr>
                <w:bCs/>
              </w:rPr>
              <w:t>(</w:t>
            </w:r>
            <w:r w:rsidRPr="00886A8D">
              <w:rPr>
                <w:bCs/>
                <w:lang w:val="en-US"/>
              </w:rPr>
              <w:t>M</w:t>
            </w:r>
            <w:r w:rsidRPr="00886A8D">
              <w:rPr>
                <w:bCs/>
              </w:rPr>
              <w:t>±</w:t>
            </w:r>
            <w:r w:rsidRPr="00886A8D">
              <w:rPr>
                <w:bCs/>
                <w:lang w:val="en-US"/>
              </w:rPr>
              <w:t>m</w:t>
            </w:r>
            <w:r w:rsidRPr="00886A8D">
              <w:rPr>
                <w:bCs/>
              </w:rPr>
              <w:t>)</w:t>
            </w:r>
          </w:p>
        </w:tc>
      </w:tr>
      <w:tr w:rsidR="00254EE8" w:rsidRPr="00886A8D" w:rsidTr="00E301ED">
        <w:trPr>
          <w:trHeight w:val="255"/>
          <w:jc w:val="center"/>
        </w:trPr>
        <w:tc>
          <w:tcPr>
            <w:tcW w:w="2016" w:type="dxa"/>
            <w:shd w:val="clear" w:color="auto" w:fill="auto"/>
            <w:noWrap/>
            <w:vAlign w:val="center"/>
          </w:tcPr>
          <w:p w:rsidR="00254EE8" w:rsidRPr="00886A8D" w:rsidRDefault="00254EE8" w:rsidP="004106FA">
            <w:pPr>
              <w:jc w:val="center"/>
            </w:pPr>
            <w:r w:rsidRPr="00886A8D">
              <w:t>Индекс Грина-Вермильона</w:t>
            </w:r>
          </w:p>
        </w:tc>
        <w:tc>
          <w:tcPr>
            <w:tcW w:w="1800" w:type="dxa"/>
            <w:shd w:val="clear" w:color="auto" w:fill="auto"/>
            <w:noWrap/>
            <w:vAlign w:val="center"/>
          </w:tcPr>
          <w:p w:rsidR="00254EE8" w:rsidRPr="00886A8D" w:rsidRDefault="00254EE8" w:rsidP="004106FA">
            <w:pPr>
              <w:jc w:val="center"/>
            </w:pPr>
            <w:r w:rsidRPr="00886A8D">
              <w:t>2,7±0,3</w:t>
            </w:r>
          </w:p>
        </w:tc>
        <w:tc>
          <w:tcPr>
            <w:tcW w:w="2760" w:type="dxa"/>
            <w:shd w:val="clear" w:color="auto" w:fill="auto"/>
            <w:noWrap/>
            <w:vAlign w:val="center"/>
          </w:tcPr>
          <w:p w:rsidR="00254EE8" w:rsidRPr="00886A8D" w:rsidRDefault="00254EE8" w:rsidP="004106FA">
            <w:pPr>
              <w:jc w:val="center"/>
              <w:rPr>
                <w:b/>
                <w:vertAlign w:val="superscript"/>
              </w:rPr>
            </w:pPr>
            <w:r w:rsidRPr="00886A8D">
              <w:t>0,3±0,2</w:t>
            </w:r>
          </w:p>
          <w:p w:rsidR="00254EE8" w:rsidRPr="00886A8D" w:rsidRDefault="00254EE8" w:rsidP="004106FA">
            <w:pPr>
              <w:jc w:val="center"/>
              <w:rPr>
                <w:b/>
              </w:rPr>
            </w:pPr>
            <w:r w:rsidRPr="00886A8D">
              <w:t>(р</w:t>
            </w:r>
            <w:r w:rsidRPr="00886A8D">
              <w:rPr>
                <w:vertAlign w:val="subscript"/>
              </w:rPr>
              <w:t>1</w:t>
            </w:r>
            <w:r w:rsidRPr="00886A8D">
              <w:t>&lt;0,001)</w:t>
            </w:r>
          </w:p>
        </w:tc>
        <w:tc>
          <w:tcPr>
            <w:tcW w:w="2640" w:type="dxa"/>
            <w:shd w:val="clear" w:color="auto" w:fill="auto"/>
            <w:noWrap/>
            <w:vAlign w:val="center"/>
          </w:tcPr>
          <w:p w:rsidR="00254EE8" w:rsidRPr="00886A8D" w:rsidRDefault="00254EE8" w:rsidP="004106FA">
            <w:pPr>
              <w:jc w:val="center"/>
            </w:pPr>
            <w:r w:rsidRPr="00886A8D">
              <w:t>0,4±0,3</w:t>
            </w:r>
          </w:p>
          <w:p w:rsidR="00254EE8" w:rsidRPr="00886A8D" w:rsidRDefault="00254EE8" w:rsidP="004106FA">
            <w:pPr>
              <w:jc w:val="center"/>
              <w:rPr>
                <w:b/>
              </w:rPr>
            </w:pPr>
            <w:r w:rsidRPr="00886A8D">
              <w:t>(р</w:t>
            </w:r>
            <w:r w:rsidRPr="00886A8D">
              <w:rPr>
                <w:vertAlign w:val="subscript"/>
              </w:rPr>
              <w:t>2</w:t>
            </w:r>
            <w:r w:rsidRPr="00886A8D">
              <w:t>&lt;0,001)</w:t>
            </w:r>
          </w:p>
        </w:tc>
      </w:tr>
      <w:tr w:rsidR="00254EE8" w:rsidRPr="00886A8D" w:rsidTr="00E301ED">
        <w:trPr>
          <w:trHeight w:val="255"/>
          <w:jc w:val="center"/>
        </w:trPr>
        <w:tc>
          <w:tcPr>
            <w:tcW w:w="2016" w:type="dxa"/>
            <w:shd w:val="clear" w:color="auto" w:fill="auto"/>
            <w:noWrap/>
            <w:vAlign w:val="center"/>
          </w:tcPr>
          <w:p w:rsidR="00254EE8" w:rsidRPr="00886A8D" w:rsidRDefault="00254EE8" w:rsidP="004106FA">
            <w:pPr>
              <w:jc w:val="center"/>
            </w:pPr>
            <w:r w:rsidRPr="00886A8D">
              <w:t>Индекс Рассела</w:t>
            </w:r>
          </w:p>
        </w:tc>
        <w:tc>
          <w:tcPr>
            <w:tcW w:w="1800" w:type="dxa"/>
            <w:shd w:val="clear" w:color="auto" w:fill="auto"/>
            <w:noWrap/>
            <w:vAlign w:val="center"/>
          </w:tcPr>
          <w:p w:rsidR="00254EE8" w:rsidRPr="00886A8D" w:rsidRDefault="00254EE8" w:rsidP="004106FA">
            <w:pPr>
              <w:jc w:val="center"/>
            </w:pPr>
            <w:r w:rsidRPr="00886A8D">
              <w:t>3,2±0,4</w:t>
            </w:r>
          </w:p>
        </w:tc>
        <w:tc>
          <w:tcPr>
            <w:tcW w:w="2760" w:type="dxa"/>
            <w:shd w:val="clear" w:color="auto" w:fill="auto"/>
            <w:noWrap/>
            <w:vAlign w:val="center"/>
          </w:tcPr>
          <w:p w:rsidR="00254EE8" w:rsidRPr="00886A8D" w:rsidRDefault="00254EE8" w:rsidP="004106FA">
            <w:pPr>
              <w:jc w:val="center"/>
              <w:rPr>
                <w:b/>
              </w:rPr>
            </w:pPr>
            <w:r w:rsidRPr="00886A8D">
              <w:t>0,6±0,3</w:t>
            </w:r>
          </w:p>
          <w:p w:rsidR="00254EE8" w:rsidRPr="00886A8D" w:rsidRDefault="00254EE8" w:rsidP="004106FA">
            <w:pPr>
              <w:jc w:val="center"/>
            </w:pPr>
            <w:r w:rsidRPr="00886A8D">
              <w:t>(р</w:t>
            </w:r>
            <w:r w:rsidRPr="00886A8D">
              <w:rPr>
                <w:vertAlign w:val="subscript"/>
              </w:rPr>
              <w:t>1</w:t>
            </w:r>
            <w:r w:rsidRPr="00886A8D">
              <w:t>&lt;0,001)</w:t>
            </w:r>
          </w:p>
        </w:tc>
        <w:tc>
          <w:tcPr>
            <w:tcW w:w="2640" w:type="dxa"/>
            <w:shd w:val="clear" w:color="auto" w:fill="auto"/>
            <w:noWrap/>
            <w:vAlign w:val="center"/>
          </w:tcPr>
          <w:p w:rsidR="00254EE8" w:rsidRPr="00886A8D" w:rsidRDefault="00254EE8" w:rsidP="004106FA">
            <w:pPr>
              <w:jc w:val="center"/>
            </w:pPr>
            <w:r w:rsidRPr="00886A8D">
              <w:t>0,7±0,3</w:t>
            </w:r>
          </w:p>
          <w:p w:rsidR="00254EE8" w:rsidRPr="00886A8D" w:rsidRDefault="00254EE8" w:rsidP="004106FA">
            <w:pPr>
              <w:jc w:val="center"/>
            </w:pPr>
            <w:r w:rsidRPr="00886A8D">
              <w:t>(р</w:t>
            </w:r>
            <w:r w:rsidRPr="00886A8D">
              <w:rPr>
                <w:vertAlign w:val="subscript"/>
              </w:rPr>
              <w:t>2</w:t>
            </w:r>
            <w:r w:rsidRPr="00886A8D">
              <w:t>&lt;0,001)</w:t>
            </w:r>
          </w:p>
        </w:tc>
      </w:tr>
      <w:tr w:rsidR="00254EE8" w:rsidRPr="00886A8D" w:rsidTr="00E301ED">
        <w:trPr>
          <w:trHeight w:val="255"/>
          <w:jc w:val="center"/>
        </w:trPr>
        <w:tc>
          <w:tcPr>
            <w:tcW w:w="2016" w:type="dxa"/>
            <w:shd w:val="clear" w:color="auto" w:fill="auto"/>
            <w:noWrap/>
            <w:vAlign w:val="center"/>
          </w:tcPr>
          <w:p w:rsidR="00254EE8" w:rsidRPr="00886A8D" w:rsidRDefault="00254EE8" w:rsidP="004106FA">
            <w:pPr>
              <w:jc w:val="center"/>
            </w:pPr>
            <w:r w:rsidRPr="00886A8D">
              <w:t>Индекс Мюлемана</w:t>
            </w:r>
          </w:p>
        </w:tc>
        <w:tc>
          <w:tcPr>
            <w:tcW w:w="1800" w:type="dxa"/>
            <w:shd w:val="clear" w:color="auto" w:fill="auto"/>
            <w:noWrap/>
            <w:vAlign w:val="center"/>
          </w:tcPr>
          <w:p w:rsidR="00254EE8" w:rsidRPr="00886A8D" w:rsidRDefault="00254EE8" w:rsidP="004106FA">
            <w:pPr>
              <w:jc w:val="center"/>
            </w:pPr>
            <w:r w:rsidRPr="00886A8D">
              <w:t>2,4±0,4</w:t>
            </w:r>
          </w:p>
        </w:tc>
        <w:tc>
          <w:tcPr>
            <w:tcW w:w="2760" w:type="dxa"/>
            <w:shd w:val="clear" w:color="auto" w:fill="auto"/>
            <w:noWrap/>
            <w:vAlign w:val="center"/>
          </w:tcPr>
          <w:p w:rsidR="00254EE8" w:rsidRPr="00886A8D" w:rsidRDefault="00254EE8" w:rsidP="004106FA">
            <w:pPr>
              <w:jc w:val="center"/>
              <w:rPr>
                <w:b/>
              </w:rPr>
            </w:pPr>
            <w:r w:rsidRPr="00886A8D">
              <w:t>0,1±0,2</w:t>
            </w:r>
          </w:p>
          <w:p w:rsidR="00254EE8" w:rsidRPr="00886A8D" w:rsidRDefault="00254EE8" w:rsidP="004106FA">
            <w:pPr>
              <w:jc w:val="center"/>
            </w:pPr>
            <w:r w:rsidRPr="00886A8D">
              <w:t>(р</w:t>
            </w:r>
            <w:r w:rsidRPr="00886A8D">
              <w:rPr>
                <w:vertAlign w:val="subscript"/>
              </w:rPr>
              <w:t>1</w:t>
            </w:r>
            <w:r w:rsidRPr="00886A8D">
              <w:t>&lt;0,001)</w:t>
            </w:r>
          </w:p>
        </w:tc>
        <w:tc>
          <w:tcPr>
            <w:tcW w:w="2640" w:type="dxa"/>
            <w:shd w:val="clear" w:color="auto" w:fill="auto"/>
            <w:noWrap/>
            <w:vAlign w:val="center"/>
          </w:tcPr>
          <w:p w:rsidR="00254EE8" w:rsidRPr="00886A8D" w:rsidRDefault="00254EE8" w:rsidP="004106FA">
            <w:pPr>
              <w:jc w:val="center"/>
              <w:rPr>
                <w:b/>
              </w:rPr>
            </w:pPr>
            <w:r w:rsidRPr="00886A8D">
              <w:t>0,1±0,2</w:t>
            </w:r>
          </w:p>
          <w:p w:rsidR="00254EE8" w:rsidRPr="00886A8D" w:rsidRDefault="00254EE8" w:rsidP="004106FA">
            <w:pPr>
              <w:jc w:val="center"/>
            </w:pPr>
            <w:r w:rsidRPr="00886A8D">
              <w:t>(р</w:t>
            </w:r>
            <w:r w:rsidRPr="00886A8D">
              <w:rPr>
                <w:vertAlign w:val="subscript"/>
              </w:rPr>
              <w:t>2</w:t>
            </w:r>
            <w:r w:rsidRPr="00886A8D">
              <w:t>&lt;0,001)</w:t>
            </w:r>
          </w:p>
        </w:tc>
      </w:tr>
    </w:tbl>
    <w:p w:rsidR="00254EE8" w:rsidRPr="00BB115E" w:rsidRDefault="00254EE8" w:rsidP="004106FA">
      <w:pPr>
        <w:jc w:val="both"/>
        <w:rPr>
          <w:b/>
          <w:sz w:val="16"/>
          <w:szCs w:val="16"/>
        </w:rPr>
      </w:pPr>
    </w:p>
    <w:p w:rsidR="00254EE8" w:rsidRPr="00886A8D" w:rsidRDefault="00254EE8" w:rsidP="004106FA">
      <w:pPr>
        <w:jc w:val="both"/>
      </w:pPr>
      <w:r w:rsidRPr="00886A8D">
        <w:rPr>
          <w:b/>
        </w:rPr>
        <w:t>Примечание</w:t>
      </w:r>
      <w:r w:rsidRPr="00886A8D">
        <w:t>: р</w:t>
      </w:r>
      <w:r w:rsidRPr="00886A8D">
        <w:rPr>
          <w:vertAlign w:val="subscript"/>
        </w:rPr>
        <w:t>1</w:t>
      </w:r>
      <w:r w:rsidRPr="00886A8D">
        <w:t xml:space="preserve">, </w:t>
      </w:r>
      <w:r w:rsidRPr="00886A8D">
        <w:rPr>
          <w:lang w:val="en-US"/>
        </w:rPr>
        <w:t>p</w:t>
      </w:r>
      <w:r w:rsidRPr="00886A8D">
        <w:rPr>
          <w:vertAlign w:val="subscript"/>
        </w:rPr>
        <w:t>2</w:t>
      </w:r>
      <w:r w:rsidRPr="00886A8D">
        <w:t xml:space="preserve"> – достоверность различий по отношению к показателям до лечения</w:t>
      </w:r>
    </w:p>
    <w:p w:rsidR="00254EE8" w:rsidRPr="00886A8D" w:rsidRDefault="00254EE8" w:rsidP="004106FA">
      <w:pPr>
        <w:ind w:firstLine="708"/>
        <w:jc w:val="both"/>
        <w:rPr>
          <w:sz w:val="16"/>
          <w:szCs w:val="16"/>
        </w:rPr>
      </w:pPr>
    </w:p>
    <w:p w:rsidR="00254EE8" w:rsidRDefault="00254EE8" w:rsidP="004106FA">
      <w:pPr>
        <w:ind w:firstLine="708"/>
        <w:jc w:val="both"/>
        <w:rPr>
          <w:sz w:val="28"/>
          <w:szCs w:val="28"/>
        </w:rPr>
      </w:pPr>
      <w:r>
        <w:rPr>
          <w:sz w:val="28"/>
          <w:szCs w:val="28"/>
        </w:rPr>
        <w:t>Н</w:t>
      </w:r>
      <w:r w:rsidRPr="00137BB6">
        <w:rPr>
          <w:sz w:val="28"/>
          <w:szCs w:val="28"/>
        </w:rPr>
        <w:t xml:space="preserve">а первые сутки лечения гиперемия десны проявилась у всех пациентов исследуемой группы, увеличилось число пациентов с отеком десны и с наличием серозного экссудата. Количество пациентов с гнойным содержимым пародонтальных карманов значительно уменьшилось. </w:t>
      </w:r>
      <w:r>
        <w:rPr>
          <w:sz w:val="28"/>
          <w:szCs w:val="28"/>
        </w:rPr>
        <w:t>Г</w:t>
      </w:r>
      <w:r w:rsidRPr="00137BB6">
        <w:rPr>
          <w:sz w:val="28"/>
          <w:szCs w:val="28"/>
        </w:rPr>
        <w:t xml:space="preserve">иперемия сохранялась у большинства пациентов, отек наблюдался у </w:t>
      </w:r>
      <w:r>
        <w:rPr>
          <w:sz w:val="28"/>
          <w:szCs w:val="28"/>
        </w:rPr>
        <w:t>4-х пациентов</w:t>
      </w:r>
      <w:r w:rsidRPr="00137BB6">
        <w:rPr>
          <w:sz w:val="28"/>
          <w:szCs w:val="28"/>
        </w:rPr>
        <w:t>,</w:t>
      </w:r>
      <w:r>
        <w:rPr>
          <w:sz w:val="28"/>
          <w:szCs w:val="28"/>
        </w:rPr>
        <w:t xml:space="preserve"> а</w:t>
      </w:r>
      <w:r w:rsidRPr="00137BB6">
        <w:rPr>
          <w:sz w:val="28"/>
          <w:szCs w:val="28"/>
        </w:rPr>
        <w:t xml:space="preserve"> гнойный экссудат отсутствовал. На десятые сутки лечения</w:t>
      </w:r>
      <w:r>
        <w:rPr>
          <w:sz w:val="28"/>
          <w:szCs w:val="28"/>
        </w:rPr>
        <w:t xml:space="preserve"> только</w:t>
      </w:r>
      <w:r w:rsidRPr="00137BB6">
        <w:rPr>
          <w:sz w:val="28"/>
          <w:szCs w:val="28"/>
        </w:rPr>
        <w:t xml:space="preserve"> у одного пациента из обследуемой группы определялась гиперемия десны.</w:t>
      </w:r>
      <w:r>
        <w:rPr>
          <w:sz w:val="28"/>
          <w:szCs w:val="28"/>
        </w:rPr>
        <w:t xml:space="preserve"> </w:t>
      </w:r>
      <w:r w:rsidRPr="00137BB6">
        <w:rPr>
          <w:sz w:val="28"/>
          <w:szCs w:val="28"/>
        </w:rPr>
        <w:t xml:space="preserve">Через 1 месяц после </w:t>
      </w:r>
      <w:r>
        <w:rPr>
          <w:sz w:val="28"/>
          <w:szCs w:val="28"/>
        </w:rPr>
        <w:t>проведенного</w:t>
      </w:r>
      <w:r w:rsidRPr="00137BB6">
        <w:rPr>
          <w:sz w:val="28"/>
          <w:szCs w:val="28"/>
        </w:rPr>
        <w:t xml:space="preserve"> курса </w:t>
      </w:r>
      <w:r>
        <w:rPr>
          <w:sz w:val="28"/>
          <w:szCs w:val="28"/>
        </w:rPr>
        <w:t>лечения</w:t>
      </w:r>
      <w:r w:rsidRPr="00137BB6">
        <w:rPr>
          <w:sz w:val="28"/>
          <w:szCs w:val="28"/>
        </w:rPr>
        <w:t xml:space="preserve"> клиническая картина у пациентов </w:t>
      </w:r>
      <w:r>
        <w:rPr>
          <w:sz w:val="28"/>
          <w:szCs w:val="28"/>
        </w:rPr>
        <w:t>данной</w:t>
      </w:r>
      <w:r w:rsidRPr="00137BB6">
        <w:rPr>
          <w:sz w:val="28"/>
          <w:szCs w:val="28"/>
        </w:rPr>
        <w:t xml:space="preserve"> группы</w:t>
      </w:r>
      <w:r>
        <w:rPr>
          <w:sz w:val="28"/>
          <w:szCs w:val="28"/>
        </w:rPr>
        <w:t xml:space="preserve"> оставалась стабильной относительно предыдущих групп исследования. При этом только у двух пациентов была выявлена гиперемия десны и у одного отек десны.</w:t>
      </w:r>
    </w:p>
    <w:p w:rsidR="00254EE8" w:rsidRPr="00137BB6" w:rsidRDefault="00254EE8" w:rsidP="004106FA">
      <w:pPr>
        <w:ind w:firstLine="708"/>
        <w:jc w:val="both"/>
        <w:rPr>
          <w:sz w:val="28"/>
          <w:szCs w:val="28"/>
        </w:rPr>
      </w:pPr>
      <w:r w:rsidRPr="00137BB6">
        <w:rPr>
          <w:sz w:val="28"/>
          <w:szCs w:val="28"/>
        </w:rPr>
        <w:t xml:space="preserve">Микробиологическое исследование содержимого пародонтальных карманов пациентов этой группы показало, </w:t>
      </w:r>
      <w:r>
        <w:rPr>
          <w:sz w:val="28"/>
          <w:szCs w:val="28"/>
        </w:rPr>
        <w:t xml:space="preserve">выявило снижение содержания </w:t>
      </w:r>
      <w:r w:rsidRPr="00137BB6">
        <w:rPr>
          <w:sz w:val="28"/>
          <w:szCs w:val="28"/>
        </w:rPr>
        <w:t>бактероидов</w:t>
      </w:r>
      <w:r>
        <w:rPr>
          <w:sz w:val="28"/>
          <w:szCs w:val="28"/>
        </w:rPr>
        <w:t xml:space="preserve"> в пародонтальных карманах. Количество выделений </w:t>
      </w:r>
      <w:r w:rsidRPr="00137BB6">
        <w:rPr>
          <w:sz w:val="28"/>
          <w:szCs w:val="28"/>
        </w:rPr>
        <w:t>энтерококк</w:t>
      </w:r>
      <w:r>
        <w:rPr>
          <w:sz w:val="28"/>
          <w:szCs w:val="28"/>
        </w:rPr>
        <w:t>ов из пародонтальных карманов</w:t>
      </w:r>
      <w:r w:rsidRPr="00137BB6">
        <w:rPr>
          <w:sz w:val="28"/>
          <w:szCs w:val="28"/>
        </w:rPr>
        <w:t xml:space="preserve"> уменьшилось на </w:t>
      </w:r>
      <w:r>
        <w:rPr>
          <w:sz w:val="28"/>
          <w:szCs w:val="28"/>
        </w:rPr>
        <w:t>48,7</w:t>
      </w:r>
      <w:r w:rsidRPr="00137BB6">
        <w:rPr>
          <w:sz w:val="28"/>
          <w:szCs w:val="28"/>
        </w:rPr>
        <w:t>%</w:t>
      </w:r>
      <w:r>
        <w:rPr>
          <w:sz w:val="28"/>
          <w:szCs w:val="28"/>
        </w:rPr>
        <w:t xml:space="preserve"> (</w:t>
      </w:r>
      <w:r w:rsidRPr="000E71EC">
        <w:rPr>
          <w:sz w:val="28"/>
          <w:szCs w:val="28"/>
        </w:rPr>
        <w:t>р&lt;0,0</w:t>
      </w:r>
      <w:r>
        <w:rPr>
          <w:sz w:val="28"/>
          <w:szCs w:val="28"/>
        </w:rPr>
        <w:t>0</w:t>
      </w:r>
      <w:r w:rsidRPr="000E71EC">
        <w:rPr>
          <w:sz w:val="28"/>
          <w:szCs w:val="28"/>
        </w:rPr>
        <w:t>5</w:t>
      </w:r>
      <w:r>
        <w:rPr>
          <w:sz w:val="28"/>
          <w:szCs w:val="28"/>
        </w:rPr>
        <w:t>), а стрептококков на 61,6% (</w:t>
      </w:r>
      <w:r w:rsidRPr="000E71EC">
        <w:rPr>
          <w:sz w:val="28"/>
          <w:szCs w:val="28"/>
        </w:rPr>
        <w:t>р&lt;0,0</w:t>
      </w:r>
      <w:r>
        <w:rPr>
          <w:sz w:val="28"/>
          <w:szCs w:val="28"/>
        </w:rPr>
        <w:t>01)</w:t>
      </w:r>
      <w:r w:rsidRPr="00137BB6">
        <w:rPr>
          <w:sz w:val="28"/>
          <w:szCs w:val="28"/>
        </w:rPr>
        <w:t>.</w:t>
      </w:r>
    </w:p>
    <w:p w:rsidR="00254EE8" w:rsidRDefault="00254EE8" w:rsidP="004106FA">
      <w:pPr>
        <w:ind w:firstLine="708"/>
        <w:jc w:val="both"/>
        <w:rPr>
          <w:sz w:val="28"/>
          <w:szCs w:val="28"/>
        </w:rPr>
      </w:pPr>
      <w:r w:rsidRPr="00137BB6">
        <w:rPr>
          <w:sz w:val="28"/>
          <w:szCs w:val="28"/>
        </w:rPr>
        <w:t>Положительный эффект от сочетания двух вышеуказанных методов</w:t>
      </w:r>
      <w:r>
        <w:rPr>
          <w:sz w:val="28"/>
          <w:szCs w:val="28"/>
        </w:rPr>
        <w:t xml:space="preserve"> лечения</w:t>
      </w:r>
      <w:r w:rsidRPr="00137BB6">
        <w:rPr>
          <w:sz w:val="28"/>
          <w:szCs w:val="28"/>
        </w:rPr>
        <w:t xml:space="preserve"> заключается в антимикробном действии </w:t>
      </w:r>
      <w:r>
        <w:rPr>
          <w:sz w:val="28"/>
          <w:szCs w:val="28"/>
        </w:rPr>
        <w:t>ровамицина</w:t>
      </w:r>
      <w:r w:rsidRPr="00137BB6">
        <w:rPr>
          <w:sz w:val="28"/>
          <w:szCs w:val="28"/>
        </w:rPr>
        <w:t xml:space="preserve"> и стимулирующ</w:t>
      </w:r>
      <w:r>
        <w:rPr>
          <w:sz w:val="28"/>
          <w:szCs w:val="28"/>
        </w:rPr>
        <w:t>и</w:t>
      </w:r>
      <w:r w:rsidRPr="00137BB6">
        <w:rPr>
          <w:sz w:val="28"/>
          <w:szCs w:val="28"/>
        </w:rPr>
        <w:t>м действи</w:t>
      </w:r>
      <w:r>
        <w:rPr>
          <w:sz w:val="28"/>
          <w:szCs w:val="28"/>
        </w:rPr>
        <w:t>ем лазерного излучения.</w:t>
      </w:r>
    </w:p>
    <w:p w:rsidR="00254EE8" w:rsidRPr="00137BB6" w:rsidRDefault="00254EE8" w:rsidP="004106FA">
      <w:pPr>
        <w:ind w:firstLine="708"/>
        <w:jc w:val="both"/>
        <w:rPr>
          <w:sz w:val="28"/>
          <w:szCs w:val="28"/>
        </w:rPr>
      </w:pPr>
      <w:r>
        <w:rPr>
          <w:sz w:val="28"/>
          <w:szCs w:val="28"/>
        </w:rPr>
        <w:t>Каждые шесть месяцев</w:t>
      </w:r>
      <w:r w:rsidRPr="00137BB6">
        <w:rPr>
          <w:sz w:val="28"/>
          <w:szCs w:val="28"/>
        </w:rPr>
        <w:t xml:space="preserve"> всем пациентам проводили профессиональную гигиену полости рта и поддерживающую терапию в соответствии с распределением</w:t>
      </w:r>
      <w:r>
        <w:rPr>
          <w:sz w:val="28"/>
          <w:szCs w:val="28"/>
        </w:rPr>
        <w:t xml:space="preserve"> пациентов по исследуемым</w:t>
      </w:r>
      <w:r w:rsidRPr="00137BB6">
        <w:rPr>
          <w:sz w:val="28"/>
          <w:szCs w:val="28"/>
        </w:rPr>
        <w:t xml:space="preserve"> группам</w:t>
      </w:r>
      <w:r>
        <w:rPr>
          <w:sz w:val="28"/>
          <w:szCs w:val="28"/>
        </w:rPr>
        <w:t xml:space="preserve">. </w:t>
      </w:r>
      <w:r w:rsidRPr="00137BB6">
        <w:rPr>
          <w:sz w:val="28"/>
          <w:szCs w:val="28"/>
        </w:rPr>
        <w:t>Анализ индексной оценки эффективности</w:t>
      </w:r>
      <w:r>
        <w:rPr>
          <w:sz w:val="28"/>
          <w:szCs w:val="28"/>
        </w:rPr>
        <w:t xml:space="preserve"> проведенного нами</w:t>
      </w:r>
      <w:r w:rsidRPr="00137BB6">
        <w:rPr>
          <w:sz w:val="28"/>
          <w:szCs w:val="28"/>
        </w:rPr>
        <w:t xml:space="preserve"> лечения </w:t>
      </w:r>
      <w:r>
        <w:rPr>
          <w:sz w:val="28"/>
          <w:szCs w:val="28"/>
        </w:rPr>
        <w:t>хронического генерализованного пародонтита в 4-х</w:t>
      </w:r>
      <w:r w:rsidRPr="00137BB6">
        <w:rPr>
          <w:sz w:val="28"/>
          <w:szCs w:val="28"/>
        </w:rPr>
        <w:t xml:space="preserve"> </w:t>
      </w:r>
      <w:r>
        <w:rPr>
          <w:sz w:val="28"/>
          <w:szCs w:val="28"/>
        </w:rPr>
        <w:t xml:space="preserve">исследуемых </w:t>
      </w:r>
      <w:r w:rsidRPr="00137BB6">
        <w:rPr>
          <w:sz w:val="28"/>
          <w:szCs w:val="28"/>
        </w:rPr>
        <w:t>групп</w:t>
      </w:r>
      <w:r>
        <w:rPr>
          <w:sz w:val="28"/>
          <w:szCs w:val="28"/>
        </w:rPr>
        <w:t>ах</w:t>
      </w:r>
      <w:r w:rsidRPr="00137BB6">
        <w:rPr>
          <w:sz w:val="28"/>
          <w:szCs w:val="28"/>
        </w:rPr>
        <w:t xml:space="preserve"> осуществляли</w:t>
      </w:r>
      <w:r>
        <w:rPr>
          <w:sz w:val="28"/>
          <w:szCs w:val="28"/>
        </w:rPr>
        <w:t xml:space="preserve"> через 6 и 12 месяцев до проведения поддерживающей терапии.</w:t>
      </w:r>
    </w:p>
    <w:p w:rsidR="00254EE8" w:rsidRDefault="00254EE8" w:rsidP="004106FA">
      <w:pPr>
        <w:ind w:firstLine="708"/>
        <w:jc w:val="both"/>
        <w:rPr>
          <w:sz w:val="28"/>
          <w:szCs w:val="28"/>
        </w:rPr>
      </w:pPr>
      <w:r>
        <w:rPr>
          <w:sz w:val="28"/>
          <w:szCs w:val="28"/>
        </w:rPr>
        <w:t>Динамика изменений индекса Грина-Вермиллиона показала, что г</w:t>
      </w:r>
      <w:r w:rsidRPr="00137BB6">
        <w:rPr>
          <w:sz w:val="28"/>
          <w:szCs w:val="28"/>
        </w:rPr>
        <w:t>игиена полости рта заметно ухудшилась у всех исследуемых пациентов, прошедших лечение</w:t>
      </w:r>
      <w:r>
        <w:rPr>
          <w:sz w:val="28"/>
          <w:szCs w:val="28"/>
        </w:rPr>
        <w:t>. Так у пациентов I и III группы гигиена полости соответствовала плохому уровню,</w:t>
      </w:r>
      <w:r w:rsidRPr="008B2BE4">
        <w:rPr>
          <w:sz w:val="28"/>
          <w:szCs w:val="28"/>
        </w:rPr>
        <w:t xml:space="preserve"> </w:t>
      </w:r>
      <w:r w:rsidRPr="00137BB6">
        <w:rPr>
          <w:sz w:val="28"/>
          <w:szCs w:val="28"/>
        </w:rPr>
        <w:t>что свидетельствует о высокой вероятности возобновления воспалительного процесса в пародонте</w:t>
      </w:r>
      <w:r>
        <w:rPr>
          <w:sz w:val="28"/>
          <w:szCs w:val="28"/>
        </w:rPr>
        <w:t>. Однако у пациентов II и IV группы значение гигиенического индекса указывало на удовлетворительную оценку гигиены полости рта, при этом у пациентов IV группы были выявлены самые минимальные значения гигиенического индекса Грина-Вермиллиона.</w:t>
      </w:r>
    </w:p>
    <w:p w:rsidR="00254EE8" w:rsidRDefault="00254EE8" w:rsidP="004106FA">
      <w:pPr>
        <w:ind w:firstLine="708"/>
        <w:jc w:val="both"/>
        <w:rPr>
          <w:sz w:val="28"/>
          <w:szCs w:val="28"/>
        </w:rPr>
      </w:pPr>
      <w:r>
        <w:rPr>
          <w:sz w:val="28"/>
          <w:szCs w:val="28"/>
        </w:rPr>
        <w:lastRenderedPageBreak/>
        <w:t>Динамика значений пародонтального индекса Рассела и индекса кровоточивости Мюлемана показала, что показатели пародонтального</w:t>
      </w:r>
      <w:r w:rsidRPr="00137BB6">
        <w:rPr>
          <w:sz w:val="28"/>
          <w:szCs w:val="28"/>
        </w:rPr>
        <w:t xml:space="preserve"> индекса</w:t>
      </w:r>
      <w:r>
        <w:rPr>
          <w:sz w:val="28"/>
          <w:szCs w:val="28"/>
        </w:rPr>
        <w:t xml:space="preserve"> также ухудшились во всех исследуемых группах, за исключением пациентов I группы, у которых показатели пародонтального индекса оставались практически неизменными на протяжении всего периода исследования. У пациентов II и IV группы значения пародонтального индекса Рассела указывали на наличие пародонтита </w:t>
      </w:r>
      <w:r w:rsidRPr="00C00F27">
        <w:rPr>
          <w:snapToGrid w:val="0"/>
          <w:sz w:val="28"/>
          <w:szCs w:val="28"/>
        </w:rPr>
        <w:t>средне</w:t>
      </w:r>
      <w:r>
        <w:rPr>
          <w:snapToGrid w:val="0"/>
          <w:sz w:val="28"/>
          <w:szCs w:val="28"/>
        </w:rPr>
        <w:t xml:space="preserve"> </w:t>
      </w:r>
      <w:r w:rsidRPr="00C00F27">
        <w:rPr>
          <w:snapToGrid w:val="0"/>
          <w:sz w:val="28"/>
          <w:szCs w:val="28"/>
        </w:rPr>
        <w:t>-</w:t>
      </w:r>
      <w:r>
        <w:rPr>
          <w:snapToGrid w:val="0"/>
          <w:sz w:val="28"/>
          <w:szCs w:val="28"/>
        </w:rPr>
        <w:t xml:space="preserve"> </w:t>
      </w:r>
      <w:r w:rsidRPr="00C00F27">
        <w:rPr>
          <w:snapToGrid w:val="0"/>
          <w:sz w:val="28"/>
          <w:szCs w:val="28"/>
        </w:rPr>
        <w:t>тяжел</w:t>
      </w:r>
      <w:r>
        <w:rPr>
          <w:snapToGrid w:val="0"/>
          <w:sz w:val="28"/>
          <w:szCs w:val="28"/>
        </w:rPr>
        <w:t>ой</w:t>
      </w:r>
      <w:r w:rsidRPr="00C00F27">
        <w:rPr>
          <w:snapToGrid w:val="0"/>
          <w:sz w:val="28"/>
          <w:szCs w:val="28"/>
        </w:rPr>
        <w:t xml:space="preserve"> степень </w:t>
      </w:r>
      <w:r>
        <w:rPr>
          <w:snapToGrid w:val="0"/>
          <w:sz w:val="28"/>
          <w:szCs w:val="28"/>
        </w:rPr>
        <w:t xml:space="preserve">тяжести. При этом </w:t>
      </w:r>
      <w:r>
        <w:rPr>
          <w:sz w:val="28"/>
          <w:szCs w:val="28"/>
        </w:rPr>
        <w:t>у пациентов IV группы были выявлены самые минимальные значения пародонтального индекса.</w:t>
      </w:r>
    </w:p>
    <w:p w:rsidR="00254EE8" w:rsidRDefault="00254EE8" w:rsidP="004106FA">
      <w:pPr>
        <w:ind w:firstLine="708"/>
        <w:jc w:val="both"/>
        <w:rPr>
          <w:sz w:val="28"/>
          <w:szCs w:val="28"/>
        </w:rPr>
      </w:pPr>
      <w:r w:rsidRPr="00A26770">
        <w:rPr>
          <w:sz w:val="28"/>
          <w:szCs w:val="28"/>
        </w:rPr>
        <w:t xml:space="preserve">Таким образом, </w:t>
      </w:r>
      <w:r>
        <w:rPr>
          <w:sz w:val="28"/>
          <w:szCs w:val="28"/>
        </w:rPr>
        <w:t>в</w:t>
      </w:r>
      <w:r w:rsidRPr="002646D5">
        <w:rPr>
          <w:sz w:val="28"/>
          <w:szCs w:val="28"/>
        </w:rPr>
        <w:t xml:space="preserve"> результате проведенн</w:t>
      </w:r>
      <w:r>
        <w:rPr>
          <w:sz w:val="28"/>
          <w:szCs w:val="28"/>
        </w:rPr>
        <w:t>ых</w:t>
      </w:r>
      <w:r w:rsidRPr="002646D5">
        <w:rPr>
          <w:sz w:val="28"/>
          <w:szCs w:val="28"/>
        </w:rPr>
        <w:t xml:space="preserve"> исследовани</w:t>
      </w:r>
      <w:r>
        <w:rPr>
          <w:sz w:val="28"/>
          <w:szCs w:val="28"/>
        </w:rPr>
        <w:t>й и</w:t>
      </w:r>
      <w:r w:rsidRPr="002646D5">
        <w:rPr>
          <w:sz w:val="28"/>
          <w:szCs w:val="28"/>
        </w:rPr>
        <w:t xml:space="preserve"> оценки ближайших и отдаленных результатов лечения хронического генерализованного паро</w:t>
      </w:r>
      <w:r>
        <w:rPr>
          <w:sz w:val="28"/>
          <w:szCs w:val="28"/>
        </w:rPr>
        <w:t xml:space="preserve">донтита средней степени тяжести, </w:t>
      </w:r>
      <w:r w:rsidRPr="002646D5">
        <w:rPr>
          <w:sz w:val="28"/>
          <w:szCs w:val="28"/>
        </w:rPr>
        <w:t>было выявлено, что наиболее эффективным методом лечения является лазеротерапия в сочетании с антимикробной терапией ровамицином. На втором месте по эффективности</w:t>
      </w:r>
      <w:r>
        <w:rPr>
          <w:sz w:val="28"/>
          <w:szCs w:val="28"/>
        </w:rPr>
        <w:t xml:space="preserve"> находилась </w:t>
      </w:r>
      <w:r w:rsidRPr="002646D5">
        <w:rPr>
          <w:sz w:val="28"/>
          <w:szCs w:val="28"/>
        </w:rPr>
        <w:t>антимикробн</w:t>
      </w:r>
      <w:r>
        <w:rPr>
          <w:sz w:val="28"/>
          <w:szCs w:val="28"/>
        </w:rPr>
        <w:t>ая</w:t>
      </w:r>
      <w:r w:rsidRPr="002646D5">
        <w:rPr>
          <w:sz w:val="28"/>
          <w:szCs w:val="28"/>
        </w:rPr>
        <w:t xml:space="preserve"> </w:t>
      </w:r>
      <w:r>
        <w:rPr>
          <w:sz w:val="28"/>
          <w:szCs w:val="28"/>
        </w:rPr>
        <w:t>терапия с использованием</w:t>
      </w:r>
      <w:r w:rsidRPr="002646D5">
        <w:rPr>
          <w:sz w:val="28"/>
          <w:szCs w:val="28"/>
        </w:rPr>
        <w:t xml:space="preserve"> ровамицин</w:t>
      </w:r>
      <w:r>
        <w:rPr>
          <w:sz w:val="28"/>
          <w:szCs w:val="28"/>
        </w:rPr>
        <w:t xml:space="preserve">а, и на третьем – лазеротерапия и </w:t>
      </w:r>
      <w:r w:rsidRPr="002646D5">
        <w:rPr>
          <w:sz w:val="28"/>
          <w:szCs w:val="28"/>
        </w:rPr>
        <w:t>антимикробн</w:t>
      </w:r>
      <w:r>
        <w:rPr>
          <w:sz w:val="28"/>
          <w:szCs w:val="28"/>
        </w:rPr>
        <w:t>ая терапия раствором хлоргексидина биглюконата.</w:t>
      </w:r>
    </w:p>
    <w:p w:rsidR="00254EE8" w:rsidRPr="007735B7" w:rsidRDefault="00254EE8" w:rsidP="007735B7">
      <w:pPr>
        <w:ind w:firstLine="708"/>
        <w:jc w:val="both"/>
        <w:rPr>
          <w:sz w:val="28"/>
          <w:szCs w:val="28"/>
        </w:rPr>
      </w:pPr>
      <w:r>
        <w:rPr>
          <w:sz w:val="28"/>
          <w:szCs w:val="28"/>
        </w:rPr>
        <w:t>Д</w:t>
      </w:r>
      <w:r w:rsidRPr="00920F40">
        <w:rPr>
          <w:sz w:val="28"/>
          <w:szCs w:val="28"/>
        </w:rPr>
        <w:t xml:space="preserve">ля дальнейшего </w:t>
      </w:r>
      <w:r w:rsidRPr="00EF3C13">
        <w:rPr>
          <w:sz w:val="28"/>
          <w:szCs w:val="28"/>
        </w:rPr>
        <w:t>внедрения в практическое здравоохранение</w:t>
      </w:r>
      <w:r>
        <w:rPr>
          <w:sz w:val="28"/>
          <w:szCs w:val="28"/>
        </w:rPr>
        <w:t xml:space="preserve"> апробированных схем лечения </w:t>
      </w:r>
      <w:r w:rsidRPr="002646D5">
        <w:rPr>
          <w:sz w:val="28"/>
          <w:szCs w:val="28"/>
        </w:rPr>
        <w:t>хронического генерализованного пародонтита средней степени тяжести</w:t>
      </w:r>
      <w:r w:rsidRPr="00EE2728">
        <w:rPr>
          <w:sz w:val="28"/>
          <w:szCs w:val="28"/>
        </w:rPr>
        <w:t xml:space="preserve"> </w:t>
      </w:r>
      <w:r w:rsidRPr="00920F40">
        <w:rPr>
          <w:sz w:val="28"/>
          <w:szCs w:val="28"/>
        </w:rPr>
        <w:t xml:space="preserve">возникает необходимость </w:t>
      </w:r>
      <w:r>
        <w:rPr>
          <w:sz w:val="28"/>
          <w:szCs w:val="28"/>
        </w:rPr>
        <w:t>в проведении фармакоэкономического анализа, направленного на выявление наиболее привлекательной с точки зрения «стоимость-эффективность» схемы лечения.</w:t>
      </w:r>
    </w:p>
    <w:p w:rsidR="00254EE8" w:rsidRDefault="00254EE8" w:rsidP="007735B7">
      <w:pPr>
        <w:ind w:firstLine="708"/>
        <w:jc w:val="both"/>
        <w:rPr>
          <w:b/>
          <w:sz w:val="28"/>
          <w:szCs w:val="28"/>
        </w:rPr>
      </w:pPr>
      <w:r>
        <w:rPr>
          <w:b/>
          <w:sz w:val="28"/>
        </w:rPr>
        <w:t>Пятая глава</w:t>
      </w:r>
      <w:r w:rsidRPr="00E30D58">
        <w:rPr>
          <w:b/>
          <w:sz w:val="28"/>
        </w:rPr>
        <w:t xml:space="preserve"> «</w:t>
      </w:r>
      <w:r>
        <w:rPr>
          <w:b/>
          <w:sz w:val="28"/>
        </w:rPr>
        <w:t>Фармакоэ</w:t>
      </w:r>
      <w:r w:rsidRPr="00E60A91">
        <w:rPr>
          <w:b/>
          <w:sz w:val="28"/>
          <w:szCs w:val="28"/>
        </w:rPr>
        <w:t>кономическая оценка лечения хронического генерализованного</w:t>
      </w:r>
      <w:r>
        <w:rPr>
          <w:b/>
          <w:sz w:val="28"/>
          <w:szCs w:val="28"/>
        </w:rPr>
        <w:t xml:space="preserve"> </w:t>
      </w:r>
      <w:r w:rsidRPr="00E60A91">
        <w:rPr>
          <w:b/>
          <w:sz w:val="28"/>
          <w:szCs w:val="28"/>
        </w:rPr>
        <w:t xml:space="preserve">пародонтита средней степени </w:t>
      </w:r>
      <w:r w:rsidRPr="0039173E">
        <w:rPr>
          <w:b/>
          <w:sz w:val="28"/>
          <w:szCs w:val="28"/>
        </w:rPr>
        <w:t>тяжести</w:t>
      </w:r>
      <w:r w:rsidR="00105149">
        <w:rPr>
          <w:b/>
          <w:sz w:val="28"/>
          <w:szCs w:val="28"/>
        </w:rPr>
        <w:t>»</w:t>
      </w:r>
      <w:r w:rsidR="00920F6F">
        <w:rPr>
          <w:b/>
          <w:sz w:val="28"/>
          <w:szCs w:val="28"/>
        </w:rPr>
        <w:t>.</w:t>
      </w:r>
      <w:r>
        <w:rPr>
          <w:b/>
          <w:sz w:val="28"/>
          <w:szCs w:val="28"/>
        </w:rPr>
        <w:t xml:space="preserve"> </w:t>
      </w:r>
    </w:p>
    <w:p w:rsidR="00254EE8" w:rsidRPr="00D336DC" w:rsidRDefault="00254EE8" w:rsidP="004106FA">
      <w:pPr>
        <w:ind w:firstLine="708"/>
        <w:jc w:val="both"/>
        <w:rPr>
          <w:sz w:val="28"/>
          <w:szCs w:val="28"/>
        </w:rPr>
      </w:pPr>
      <w:r>
        <w:rPr>
          <w:sz w:val="28"/>
          <w:szCs w:val="28"/>
        </w:rPr>
        <w:t xml:space="preserve">После оценки клинической эффективности 4-х методов лечения хронического </w:t>
      </w:r>
      <w:r w:rsidRPr="003E553E">
        <w:rPr>
          <w:sz w:val="28"/>
          <w:szCs w:val="28"/>
        </w:rPr>
        <w:t>генерализованного пародонтита средней степени тяжести</w:t>
      </w:r>
      <w:r>
        <w:rPr>
          <w:sz w:val="28"/>
          <w:szCs w:val="28"/>
        </w:rPr>
        <w:t xml:space="preserve">, нами была проведена их </w:t>
      </w:r>
      <w:r w:rsidRPr="003E553E">
        <w:rPr>
          <w:sz w:val="28"/>
          <w:szCs w:val="28"/>
        </w:rPr>
        <w:t>экономическ</w:t>
      </w:r>
      <w:r>
        <w:rPr>
          <w:sz w:val="28"/>
          <w:szCs w:val="28"/>
        </w:rPr>
        <w:t>ая</w:t>
      </w:r>
      <w:r w:rsidRPr="003E553E">
        <w:rPr>
          <w:sz w:val="28"/>
          <w:szCs w:val="28"/>
        </w:rPr>
        <w:t xml:space="preserve"> оценк</w:t>
      </w:r>
      <w:r>
        <w:rPr>
          <w:sz w:val="28"/>
          <w:szCs w:val="28"/>
        </w:rPr>
        <w:t>а. Для проведения экономического анализа</w:t>
      </w:r>
      <w:r w:rsidRPr="003E553E">
        <w:rPr>
          <w:sz w:val="28"/>
          <w:szCs w:val="28"/>
        </w:rPr>
        <w:t xml:space="preserve"> </w:t>
      </w:r>
      <w:r>
        <w:rPr>
          <w:sz w:val="28"/>
          <w:szCs w:val="28"/>
        </w:rPr>
        <w:t>использовались данные о</w:t>
      </w:r>
      <w:r w:rsidRPr="003E553E">
        <w:rPr>
          <w:sz w:val="28"/>
          <w:szCs w:val="28"/>
        </w:rPr>
        <w:t xml:space="preserve"> прямы</w:t>
      </w:r>
      <w:r>
        <w:rPr>
          <w:sz w:val="28"/>
          <w:szCs w:val="28"/>
        </w:rPr>
        <w:t>х</w:t>
      </w:r>
      <w:r w:rsidRPr="003E553E">
        <w:rPr>
          <w:sz w:val="28"/>
          <w:szCs w:val="28"/>
        </w:rPr>
        <w:t xml:space="preserve"> медицински</w:t>
      </w:r>
      <w:r>
        <w:rPr>
          <w:sz w:val="28"/>
          <w:szCs w:val="28"/>
        </w:rPr>
        <w:t>х</w:t>
      </w:r>
      <w:r w:rsidRPr="003E553E">
        <w:rPr>
          <w:sz w:val="28"/>
          <w:szCs w:val="28"/>
        </w:rPr>
        <w:t xml:space="preserve"> затрат</w:t>
      </w:r>
      <w:r>
        <w:rPr>
          <w:sz w:val="28"/>
          <w:szCs w:val="28"/>
        </w:rPr>
        <w:t xml:space="preserve">ах, связанные с лечением </w:t>
      </w:r>
      <w:r w:rsidRPr="003E553E">
        <w:rPr>
          <w:sz w:val="28"/>
          <w:szCs w:val="28"/>
        </w:rPr>
        <w:t>пациент</w:t>
      </w:r>
      <w:r>
        <w:rPr>
          <w:sz w:val="28"/>
          <w:szCs w:val="28"/>
        </w:rPr>
        <w:t xml:space="preserve">ов исследуемых групп. </w:t>
      </w:r>
      <w:r w:rsidRPr="003E553E">
        <w:rPr>
          <w:sz w:val="28"/>
          <w:szCs w:val="28"/>
        </w:rPr>
        <w:t>К прямым медицинским затратам были отнесены расходы на лабораторное и инструментальное обследование, лечебные манипуляции, лекарственные средства</w:t>
      </w:r>
      <w:r>
        <w:rPr>
          <w:sz w:val="28"/>
          <w:szCs w:val="28"/>
        </w:rPr>
        <w:t>, а также</w:t>
      </w:r>
      <w:r w:rsidRPr="003E553E">
        <w:rPr>
          <w:sz w:val="28"/>
          <w:szCs w:val="28"/>
        </w:rPr>
        <w:t xml:space="preserve"> оплат</w:t>
      </w:r>
      <w:r>
        <w:rPr>
          <w:sz w:val="28"/>
          <w:szCs w:val="28"/>
        </w:rPr>
        <w:t>а</w:t>
      </w:r>
      <w:r w:rsidRPr="003E553E">
        <w:rPr>
          <w:sz w:val="28"/>
          <w:szCs w:val="28"/>
        </w:rPr>
        <w:t xml:space="preserve"> </w:t>
      </w:r>
      <w:r>
        <w:rPr>
          <w:sz w:val="28"/>
          <w:szCs w:val="28"/>
        </w:rPr>
        <w:t>рабочего времени</w:t>
      </w:r>
      <w:r w:rsidRPr="003E553E">
        <w:rPr>
          <w:sz w:val="28"/>
          <w:szCs w:val="28"/>
        </w:rPr>
        <w:t xml:space="preserve"> врачей-стоматологов и другого медицинского персонала</w:t>
      </w:r>
      <w:r>
        <w:rPr>
          <w:sz w:val="28"/>
          <w:szCs w:val="28"/>
        </w:rPr>
        <w:t>. С</w:t>
      </w:r>
      <w:r w:rsidRPr="00D336DC">
        <w:rPr>
          <w:sz w:val="28"/>
          <w:szCs w:val="28"/>
        </w:rPr>
        <w:t>тоимость</w:t>
      </w:r>
      <w:r>
        <w:rPr>
          <w:sz w:val="28"/>
          <w:szCs w:val="28"/>
        </w:rPr>
        <w:t xml:space="preserve"> лечебно-диагностических услуг определяли по прейскуранту цен стоматологического учебно-научно-клинического центра </w:t>
      </w:r>
      <w:r w:rsidRPr="00B827C5">
        <w:rPr>
          <w:sz w:val="28"/>
          <w:szCs w:val="28"/>
        </w:rPr>
        <w:t>КГМА</w:t>
      </w:r>
      <w:r>
        <w:rPr>
          <w:sz w:val="28"/>
          <w:szCs w:val="28"/>
        </w:rPr>
        <w:t xml:space="preserve">, а стоимость лекарственных средств </w:t>
      </w:r>
      <w:r w:rsidRPr="00D336DC">
        <w:rPr>
          <w:sz w:val="28"/>
          <w:szCs w:val="28"/>
        </w:rPr>
        <w:t>по «прайс-листам»</w:t>
      </w:r>
      <w:r>
        <w:rPr>
          <w:sz w:val="28"/>
          <w:szCs w:val="28"/>
        </w:rPr>
        <w:t xml:space="preserve"> крупных</w:t>
      </w:r>
      <w:r w:rsidRPr="00D336DC">
        <w:rPr>
          <w:sz w:val="28"/>
          <w:szCs w:val="28"/>
        </w:rPr>
        <w:t xml:space="preserve"> оптовых фармацевтических компаний (Неман, Эляй, Бимед и Алкор-Компани) за </w:t>
      </w:r>
      <w:r>
        <w:rPr>
          <w:sz w:val="28"/>
          <w:szCs w:val="28"/>
        </w:rPr>
        <w:t>2009–2012</w:t>
      </w:r>
      <w:r w:rsidRPr="00D336DC">
        <w:rPr>
          <w:sz w:val="28"/>
          <w:szCs w:val="28"/>
        </w:rPr>
        <w:t xml:space="preserve"> год</w:t>
      </w:r>
      <w:r>
        <w:rPr>
          <w:sz w:val="28"/>
          <w:szCs w:val="28"/>
        </w:rPr>
        <w:t>ы</w:t>
      </w:r>
      <w:r w:rsidRPr="00D336DC">
        <w:rPr>
          <w:sz w:val="28"/>
          <w:szCs w:val="28"/>
        </w:rPr>
        <w:t xml:space="preserve">. Выбирались </w:t>
      </w:r>
      <w:r>
        <w:rPr>
          <w:sz w:val="28"/>
          <w:szCs w:val="28"/>
        </w:rPr>
        <w:t>ЛС</w:t>
      </w:r>
      <w:r w:rsidRPr="00D336DC">
        <w:rPr>
          <w:sz w:val="28"/>
          <w:szCs w:val="28"/>
        </w:rPr>
        <w:t>, имеющие наименьшую оптовую стоимость</w:t>
      </w:r>
      <w:r>
        <w:rPr>
          <w:sz w:val="28"/>
          <w:szCs w:val="28"/>
        </w:rPr>
        <w:t>.</w:t>
      </w:r>
    </w:p>
    <w:p w:rsidR="00254EE8" w:rsidRDefault="00254EE8" w:rsidP="004106FA">
      <w:pPr>
        <w:tabs>
          <w:tab w:val="left" w:pos="720"/>
        </w:tabs>
        <w:jc w:val="both"/>
        <w:rPr>
          <w:sz w:val="28"/>
          <w:szCs w:val="28"/>
        </w:rPr>
      </w:pPr>
      <w:r w:rsidRPr="003E553E">
        <w:rPr>
          <w:sz w:val="28"/>
          <w:szCs w:val="28"/>
        </w:rPr>
        <w:tab/>
        <w:t>Прямые немедицинские затраты</w:t>
      </w:r>
      <w:r>
        <w:rPr>
          <w:sz w:val="28"/>
          <w:szCs w:val="28"/>
        </w:rPr>
        <w:t xml:space="preserve"> </w:t>
      </w:r>
      <w:r w:rsidRPr="003E553E">
        <w:rPr>
          <w:sz w:val="28"/>
          <w:szCs w:val="28"/>
        </w:rPr>
        <w:t>включа</w:t>
      </w:r>
      <w:r>
        <w:rPr>
          <w:sz w:val="28"/>
          <w:szCs w:val="28"/>
        </w:rPr>
        <w:t>ющие</w:t>
      </w:r>
      <w:r w:rsidRPr="003E553E">
        <w:rPr>
          <w:sz w:val="28"/>
          <w:szCs w:val="28"/>
        </w:rPr>
        <w:t xml:space="preserve"> различные накладные расходы, связанные с лечением больного</w:t>
      </w:r>
      <w:r>
        <w:rPr>
          <w:sz w:val="28"/>
          <w:szCs w:val="28"/>
        </w:rPr>
        <w:t xml:space="preserve"> (</w:t>
      </w:r>
      <w:r w:rsidRPr="003E553E">
        <w:rPr>
          <w:sz w:val="28"/>
          <w:szCs w:val="28"/>
        </w:rPr>
        <w:t>стоимость его лечебной диеты, транспортировку несанитарн</w:t>
      </w:r>
      <w:r>
        <w:rPr>
          <w:sz w:val="28"/>
          <w:szCs w:val="28"/>
        </w:rPr>
        <w:t>ым транспортом, затраты по уходу и др.) не учитывались, в связи с тем, что все пациенты получали амбулаторное лечение не позволяющее достоверно определить данную категорию затрат</w:t>
      </w:r>
      <w:r w:rsidRPr="003E553E">
        <w:rPr>
          <w:sz w:val="28"/>
          <w:szCs w:val="28"/>
        </w:rPr>
        <w:t>.</w:t>
      </w:r>
    </w:p>
    <w:p w:rsidR="00254EE8" w:rsidRDefault="00254EE8" w:rsidP="004106FA">
      <w:pPr>
        <w:jc w:val="both"/>
        <w:rPr>
          <w:bCs/>
          <w:sz w:val="28"/>
          <w:szCs w:val="28"/>
        </w:rPr>
      </w:pPr>
      <w:r>
        <w:rPr>
          <w:sz w:val="28"/>
          <w:szCs w:val="28"/>
        </w:rPr>
        <w:lastRenderedPageBreak/>
        <w:tab/>
        <w:t xml:space="preserve">Поскольку при проведении экономического анализа учитывались только прямые медицинские расходы, </w:t>
      </w:r>
      <w:r>
        <w:rPr>
          <w:bCs/>
          <w:sz w:val="28"/>
          <w:szCs w:val="28"/>
        </w:rPr>
        <w:t>расчет экономических показателей проводился только по данной категории расходов.</w:t>
      </w:r>
    </w:p>
    <w:p w:rsidR="00254EE8" w:rsidRDefault="00254EE8" w:rsidP="004106FA">
      <w:pPr>
        <w:jc w:val="both"/>
        <w:rPr>
          <w:bCs/>
          <w:sz w:val="28"/>
          <w:szCs w:val="28"/>
        </w:rPr>
      </w:pPr>
      <w:r>
        <w:rPr>
          <w:bCs/>
          <w:sz w:val="28"/>
          <w:szCs w:val="28"/>
        </w:rPr>
        <w:tab/>
        <w:t>Для оценки экономической эффективности сравниваемых 4-х методов лечения был проведен расчет стоимости базовых затрат, то есть без учета лекарственных средств  и лазеротерапии. Базовая стоимость имела различия по составляющим и количественным характеристикам и включила на всех этапов следующие диагностические лечебные процедуры.</w:t>
      </w:r>
    </w:p>
    <w:p w:rsidR="00254EE8" w:rsidRDefault="00254EE8" w:rsidP="00AA269C">
      <w:pPr>
        <w:ind w:firstLine="708"/>
        <w:jc w:val="both"/>
        <w:rPr>
          <w:sz w:val="28"/>
          <w:szCs w:val="28"/>
        </w:rPr>
      </w:pPr>
      <w:r>
        <w:rPr>
          <w:bCs/>
          <w:sz w:val="28"/>
          <w:szCs w:val="28"/>
        </w:rPr>
        <w:t xml:space="preserve">Первый прием включал: осмотр больного, </w:t>
      </w:r>
      <w:r w:rsidR="00920F6F">
        <w:rPr>
          <w:bCs/>
          <w:sz w:val="28"/>
          <w:szCs w:val="28"/>
        </w:rPr>
        <w:t xml:space="preserve">забор содержимого из пародонтальных карманов </w:t>
      </w:r>
      <w:r>
        <w:rPr>
          <w:bCs/>
          <w:sz w:val="28"/>
          <w:szCs w:val="28"/>
        </w:rPr>
        <w:t xml:space="preserve">для микробиологического исследования, </w:t>
      </w:r>
      <w:r w:rsidR="00920F6F">
        <w:rPr>
          <w:bCs/>
          <w:sz w:val="28"/>
          <w:szCs w:val="28"/>
        </w:rPr>
        <w:t>проведение</w:t>
      </w:r>
      <w:r>
        <w:rPr>
          <w:bCs/>
          <w:sz w:val="28"/>
          <w:szCs w:val="28"/>
        </w:rPr>
        <w:t xml:space="preserve"> анестези</w:t>
      </w:r>
      <w:r w:rsidR="00920F6F">
        <w:rPr>
          <w:bCs/>
          <w:sz w:val="28"/>
          <w:szCs w:val="28"/>
        </w:rPr>
        <w:t>и</w:t>
      </w:r>
      <w:r>
        <w:rPr>
          <w:bCs/>
          <w:sz w:val="28"/>
          <w:szCs w:val="28"/>
        </w:rPr>
        <w:t>, сняти</w:t>
      </w:r>
      <w:r w:rsidR="00920F6F">
        <w:rPr>
          <w:bCs/>
          <w:sz w:val="28"/>
          <w:szCs w:val="28"/>
        </w:rPr>
        <w:t>е</w:t>
      </w:r>
      <w:r>
        <w:rPr>
          <w:bCs/>
          <w:sz w:val="28"/>
          <w:szCs w:val="28"/>
        </w:rPr>
        <w:t xml:space="preserve"> зубных отложений ультразвуковым способом, кюретаж  пародонтальных карманов, рентгенографи</w:t>
      </w:r>
      <w:r w:rsidR="007F0E89">
        <w:rPr>
          <w:bCs/>
          <w:sz w:val="28"/>
          <w:szCs w:val="28"/>
        </w:rPr>
        <w:t>ю</w:t>
      </w:r>
      <w:r>
        <w:rPr>
          <w:bCs/>
          <w:sz w:val="28"/>
          <w:szCs w:val="28"/>
        </w:rPr>
        <w:t>.</w:t>
      </w:r>
      <w:r w:rsidRPr="00D6012C">
        <w:rPr>
          <w:sz w:val="28"/>
          <w:szCs w:val="28"/>
        </w:rPr>
        <w:t xml:space="preserve"> </w:t>
      </w:r>
    </w:p>
    <w:p w:rsidR="007F0E89" w:rsidRDefault="00254EE8" w:rsidP="007F0E89">
      <w:pPr>
        <w:ind w:firstLine="708"/>
        <w:jc w:val="both"/>
        <w:rPr>
          <w:sz w:val="28"/>
          <w:szCs w:val="28"/>
        </w:rPr>
      </w:pPr>
      <w:r>
        <w:rPr>
          <w:sz w:val="28"/>
          <w:szCs w:val="28"/>
        </w:rPr>
        <w:t>Лечение пациентов через месяц</w:t>
      </w:r>
      <w:r w:rsidR="007F0E89">
        <w:rPr>
          <w:sz w:val="28"/>
          <w:szCs w:val="28"/>
        </w:rPr>
        <w:t xml:space="preserve"> включало</w:t>
      </w:r>
      <w:r>
        <w:rPr>
          <w:sz w:val="28"/>
          <w:szCs w:val="28"/>
        </w:rPr>
        <w:t xml:space="preserve">: </w:t>
      </w:r>
      <w:r w:rsidR="007F0E89">
        <w:rPr>
          <w:sz w:val="28"/>
          <w:szCs w:val="28"/>
        </w:rPr>
        <w:t>д</w:t>
      </w:r>
      <w:r>
        <w:rPr>
          <w:sz w:val="28"/>
          <w:szCs w:val="28"/>
        </w:rPr>
        <w:t>етальный осмотр полости рта с регистрацией гигиенических и пародонтальных индексов. Проведение сан-просвет работы (</w:t>
      </w:r>
      <w:r w:rsidR="007F0E89">
        <w:rPr>
          <w:sz w:val="28"/>
          <w:szCs w:val="28"/>
        </w:rPr>
        <w:t xml:space="preserve">рекомендации по </w:t>
      </w:r>
      <w:r>
        <w:rPr>
          <w:sz w:val="28"/>
          <w:szCs w:val="28"/>
        </w:rPr>
        <w:t>питани</w:t>
      </w:r>
      <w:r w:rsidR="007F0E89">
        <w:rPr>
          <w:sz w:val="28"/>
          <w:szCs w:val="28"/>
        </w:rPr>
        <w:t>ю</w:t>
      </w:r>
      <w:r>
        <w:rPr>
          <w:sz w:val="28"/>
          <w:szCs w:val="28"/>
        </w:rPr>
        <w:t xml:space="preserve">, </w:t>
      </w:r>
      <w:r w:rsidR="007F0E89">
        <w:rPr>
          <w:sz w:val="28"/>
          <w:szCs w:val="28"/>
        </w:rPr>
        <w:t>разъяснение</w:t>
      </w:r>
      <w:r>
        <w:rPr>
          <w:sz w:val="28"/>
          <w:szCs w:val="28"/>
        </w:rPr>
        <w:t xml:space="preserve"> пациент</w:t>
      </w:r>
      <w:r w:rsidR="007F0E89">
        <w:rPr>
          <w:sz w:val="28"/>
          <w:szCs w:val="28"/>
        </w:rPr>
        <w:t>у</w:t>
      </w:r>
      <w:r>
        <w:rPr>
          <w:sz w:val="28"/>
          <w:szCs w:val="28"/>
        </w:rPr>
        <w:t xml:space="preserve"> </w:t>
      </w:r>
      <w:r w:rsidR="007F0E89">
        <w:rPr>
          <w:sz w:val="28"/>
          <w:szCs w:val="28"/>
        </w:rPr>
        <w:t>необходимости</w:t>
      </w:r>
      <w:r>
        <w:rPr>
          <w:sz w:val="28"/>
          <w:szCs w:val="28"/>
        </w:rPr>
        <w:t xml:space="preserve"> длительно</w:t>
      </w:r>
      <w:r w:rsidR="007F0E89">
        <w:rPr>
          <w:sz w:val="28"/>
          <w:szCs w:val="28"/>
        </w:rPr>
        <w:t>го систематического лечения);</w:t>
      </w:r>
      <w:r>
        <w:rPr>
          <w:sz w:val="28"/>
          <w:szCs w:val="28"/>
        </w:rPr>
        <w:t xml:space="preserve"> </w:t>
      </w:r>
      <w:r w:rsidR="007F0E89">
        <w:rPr>
          <w:sz w:val="28"/>
          <w:szCs w:val="28"/>
        </w:rPr>
        <w:t>н</w:t>
      </w:r>
      <w:r>
        <w:rPr>
          <w:sz w:val="28"/>
          <w:szCs w:val="28"/>
        </w:rPr>
        <w:t>ндивидуальный подбор методов и средств гигиены полости р</w:t>
      </w:r>
      <w:r w:rsidR="007F0E89">
        <w:rPr>
          <w:sz w:val="28"/>
          <w:szCs w:val="28"/>
        </w:rPr>
        <w:t>та (зубные щетки, пасты и.т.д.);</w:t>
      </w:r>
      <w:r>
        <w:rPr>
          <w:sz w:val="28"/>
          <w:szCs w:val="28"/>
        </w:rPr>
        <w:t xml:space="preserve"> </w:t>
      </w:r>
      <w:r w:rsidR="007F0E89">
        <w:rPr>
          <w:sz w:val="28"/>
          <w:szCs w:val="28"/>
        </w:rPr>
        <w:t>снятие зубных отложений;</w:t>
      </w:r>
      <w:r>
        <w:rPr>
          <w:sz w:val="28"/>
          <w:szCs w:val="28"/>
        </w:rPr>
        <w:t xml:space="preserve"> </w:t>
      </w:r>
      <w:r w:rsidR="007F0E89">
        <w:rPr>
          <w:sz w:val="28"/>
          <w:szCs w:val="28"/>
        </w:rPr>
        <w:t>н</w:t>
      </w:r>
      <w:r w:rsidR="00AA269C">
        <w:rPr>
          <w:sz w:val="28"/>
          <w:szCs w:val="28"/>
        </w:rPr>
        <w:t>азначение лекарственных препаратов по группам</w:t>
      </w:r>
      <w:r w:rsidR="007F0E89">
        <w:rPr>
          <w:sz w:val="28"/>
          <w:szCs w:val="28"/>
        </w:rPr>
        <w:t>;</w:t>
      </w:r>
      <w:r w:rsidR="00AA269C">
        <w:rPr>
          <w:sz w:val="28"/>
          <w:szCs w:val="28"/>
        </w:rPr>
        <w:t xml:space="preserve"> </w:t>
      </w:r>
      <w:r w:rsidR="007F0E89">
        <w:rPr>
          <w:sz w:val="28"/>
          <w:szCs w:val="28"/>
        </w:rPr>
        <w:t>р</w:t>
      </w:r>
      <w:r w:rsidR="00AA269C">
        <w:rPr>
          <w:sz w:val="28"/>
          <w:szCs w:val="28"/>
        </w:rPr>
        <w:t>екомендации по уходу за полостью рта.</w:t>
      </w:r>
    </w:p>
    <w:p w:rsidR="007F0E89" w:rsidRPr="007F0E89" w:rsidRDefault="007F0E89" w:rsidP="007F0E89">
      <w:pPr>
        <w:jc w:val="both"/>
        <w:rPr>
          <w:b/>
          <w:sz w:val="16"/>
          <w:szCs w:val="16"/>
        </w:rPr>
      </w:pPr>
    </w:p>
    <w:p w:rsidR="00254EE8" w:rsidRPr="007F0E89" w:rsidRDefault="007F0E89" w:rsidP="007F0E89">
      <w:pPr>
        <w:jc w:val="both"/>
        <w:rPr>
          <w:b/>
        </w:rPr>
      </w:pPr>
      <w:r w:rsidRPr="007F0E89">
        <w:rPr>
          <w:b/>
        </w:rPr>
        <w:t xml:space="preserve">Таблица 5 - </w:t>
      </w:r>
      <w:r w:rsidR="00254EE8" w:rsidRPr="007F0E89">
        <w:rPr>
          <w:b/>
          <w:bCs/>
          <w:lang w:val="ky-KG"/>
        </w:rPr>
        <w:t>Стоимость одного одного вылеченного случая (сом)</w:t>
      </w:r>
    </w:p>
    <w:p w:rsidR="00254EE8" w:rsidRPr="007F0E89" w:rsidRDefault="00254EE8" w:rsidP="004106FA">
      <w:pPr>
        <w:ind w:firstLine="708"/>
        <w:jc w:val="both"/>
        <w:rPr>
          <w:b/>
          <w:bCs/>
          <w:sz w:val="16"/>
          <w:szCs w:val="16"/>
          <w:lang w:val="ky-K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0"/>
        <w:gridCol w:w="2244"/>
        <w:gridCol w:w="2074"/>
        <w:gridCol w:w="1769"/>
        <w:gridCol w:w="1547"/>
      </w:tblGrid>
      <w:tr w:rsidR="007735B7" w:rsidRPr="007735B7" w:rsidTr="007F0E89">
        <w:tc>
          <w:tcPr>
            <w:tcW w:w="2220" w:type="dxa"/>
            <w:vMerge w:val="restart"/>
            <w:vAlign w:val="center"/>
          </w:tcPr>
          <w:p w:rsidR="007735B7" w:rsidRPr="007F0E89" w:rsidRDefault="007735B7" w:rsidP="007F0E89">
            <w:pPr>
              <w:jc w:val="center"/>
              <w:rPr>
                <w:b/>
                <w:bCs/>
              </w:rPr>
            </w:pPr>
            <w:r w:rsidRPr="007F0E89">
              <w:rPr>
                <w:b/>
                <w:bCs/>
              </w:rPr>
              <w:t>Сроки оценки</w:t>
            </w:r>
          </w:p>
        </w:tc>
        <w:tc>
          <w:tcPr>
            <w:tcW w:w="7634" w:type="dxa"/>
            <w:gridSpan w:val="4"/>
            <w:vAlign w:val="center"/>
          </w:tcPr>
          <w:p w:rsidR="007735B7" w:rsidRPr="007F0E89" w:rsidRDefault="007735B7" w:rsidP="007F0E89">
            <w:pPr>
              <w:jc w:val="center"/>
              <w:rPr>
                <w:b/>
                <w:bCs/>
              </w:rPr>
            </w:pPr>
            <w:r w:rsidRPr="007F0E89">
              <w:rPr>
                <w:b/>
                <w:bCs/>
              </w:rPr>
              <w:t>Группы больных</w:t>
            </w:r>
          </w:p>
        </w:tc>
      </w:tr>
      <w:tr w:rsidR="007735B7" w:rsidRPr="007735B7" w:rsidTr="007F0E89">
        <w:tc>
          <w:tcPr>
            <w:tcW w:w="2220" w:type="dxa"/>
            <w:vMerge/>
            <w:vAlign w:val="center"/>
          </w:tcPr>
          <w:p w:rsidR="007735B7" w:rsidRPr="007F0E89" w:rsidRDefault="007735B7" w:rsidP="007F0E89">
            <w:pPr>
              <w:jc w:val="center"/>
              <w:rPr>
                <w:b/>
                <w:bCs/>
              </w:rPr>
            </w:pPr>
          </w:p>
        </w:tc>
        <w:tc>
          <w:tcPr>
            <w:tcW w:w="2244" w:type="dxa"/>
            <w:vAlign w:val="center"/>
          </w:tcPr>
          <w:p w:rsidR="007735B7" w:rsidRPr="007F0E89" w:rsidRDefault="007735B7" w:rsidP="007F0E89">
            <w:pPr>
              <w:jc w:val="center"/>
              <w:rPr>
                <w:b/>
                <w:bCs/>
                <w:lang w:val="en-US"/>
              </w:rPr>
            </w:pPr>
            <w:r w:rsidRPr="007F0E89">
              <w:rPr>
                <w:b/>
                <w:bCs/>
                <w:lang w:val="en-US"/>
              </w:rPr>
              <w:t>I</w:t>
            </w:r>
          </w:p>
        </w:tc>
        <w:tc>
          <w:tcPr>
            <w:tcW w:w="2074" w:type="dxa"/>
            <w:vAlign w:val="center"/>
          </w:tcPr>
          <w:p w:rsidR="007735B7" w:rsidRPr="007F0E89" w:rsidRDefault="007735B7" w:rsidP="007F0E89">
            <w:pPr>
              <w:jc w:val="center"/>
              <w:rPr>
                <w:b/>
                <w:bCs/>
                <w:lang w:val="en-US"/>
              </w:rPr>
            </w:pPr>
            <w:r w:rsidRPr="007F0E89">
              <w:rPr>
                <w:b/>
                <w:bCs/>
                <w:lang w:val="en-US"/>
              </w:rPr>
              <w:t>II</w:t>
            </w:r>
          </w:p>
        </w:tc>
        <w:tc>
          <w:tcPr>
            <w:tcW w:w="1769" w:type="dxa"/>
            <w:vAlign w:val="center"/>
          </w:tcPr>
          <w:p w:rsidR="007735B7" w:rsidRPr="007F0E89" w:rsidRDefault="007735B7" w:rsidP="007F0E89">
            <w:pPr>
              <w:jc w:val="center"/>
              <w:rPr>
                <w:b/>
                <w:bCs/>
                <w:lang w:val="en-US"/>
              </w:rPr>
            </w:pPr>
            <w:r w:rsidRPr="007F0E89">
              <w:rPr>
                <w:b/>
                <w:bCs/>
                <w:lang w:val="en-US"/>
              </w:rPr>
              <w:t>III</w:t>
            </w:r>
          </w:p>
        </w:tc>
        <w:tc>
          <w:tcPr>
            <w:tcW w:w="1547" w:type="dxa"/>
            <w:vAlign w:val="center"/>
          </w:tcPr>
          <w:p w:rsidR="007735B7" w:rsidRPr="007F0E89" w:rsidRDefault="007735B7" w:rsidP="007F0E89">
            <w:pPr>
              <w:jc w:val="center"/>
              <w:rPr>
                <w:b/>
                <w:bCs/>
                <w:lang w:val="en-US"/>
              </w:rPr>
            </w:pPr>
            <w:r w:rsidRPr="007F0E89">
              <w:rPr>
                <w:b/>
                <w:bCs/>
                <w:lang w:val="en-US"/>
              </w:rPr>
              <w:t>IV</w:t>
            </w:r>
          </w:p>
        </w:tc>
      </w:tr>
      <w:tr w:rsidR="00254EE8" w:rsidRPr="007735B7" w:rsidTr="00E301ED">
        <w:tc>
          <w:tcPr>
            <w:tcW w:w="2220" w:type="dxa"/>
          </w:tcPr>
          <w:p w:rsidR="00254EE8" w:rsidRPr="007735B7" w:rsidRDefault="00254EE8" w:rsidP="007735B7">
            <w:pPr>
              <w:jc w:val="center"/>
              <w:rPr>
                <w:bCs/>
                <w:lang w:val="ky-KG"/>
              </w:rPr>
            </w:pPr>
            <w:r w:rsidRPr="007735B7">
              <w:rPr>
                <w:bCs/>
                <w:lang w:val="ky-KG"/>
              </w:rPr>
              <w:t>На момент осмотра</w:t>
            </w:r>
          </w:p>
        </w:tc>
        <w:tc>
          <w:tcPr>
            <w:tcW w:w="2244" w:type="dxa"/>
          </w:tcPr>
          <w:p w:rsidR="00254EE8" w:rsidRPr="007735B7" w:rsidRDefault="00254EE8" w:rsidP="007735B7">
            <w:pPr>
              <w:jc w:val="center"/>
              <w:rPr>
                <w:bCs/>
                <w:lang w:val="ky-KG"/>
              </w:rPr>
            </w:pPr>
            <w:r w:rsidRPr="007735B7">
              <w:rPr>
                <w:bCs/>
                <w:lang w:val="ky-KG"/>
              </w:rPr>
              <w:t>2127</w:t>
            </w:r>
          </w:p>
        </w:tc>
        <w:tc>
          <w:tcPr>
            <w:tcW w:w="2074" w:type="dxa"/>
          </w:tcPr>
          <w:p w:rsidR="00254EE8" w:rsidRPr="007735B7" w:rsidRDefault="00254EE8" w:rsidP="007735B7">
            <w:pPr>
              <w:jc w:val="center"/>
              <w:rPr>
                <w:bCs/>
                <w:lang w:val="ky-KG"/>
              </w:rPr>
            </w:pPr>
            <w:r w:rsidRPr="007735B7">
              <w:rPr>
                <w:bCs/>
                <w:lang w:val="ky-KG"/>
              </w:rPr>
              <w:t>2749</w:t>
            </w:r>
          </w:p>
        </w:tc>
        <w:tc>
          <w:tcPr>
            <w:tcW w:w="1769" w:type="dxa"/>
          </w:tcPr>
          <w:p w:rsidR="00254EE8" w:rsidRPr="007735B7" w:rsidRDefault="00254EE8" w:rsidP="007735B7">
            <w:pPr>
              <w:jc w:val="center"/>
              <w:rPr>
                <w:bCs/>
                <w:lang w:val="ky-KG"/>
              </w:rPr>
            </w:pPr>
            <w:r w:rsidRPr="007735B7">
              <w:rPr>
                <w:bCs/>
                <w:lang w:val="ky-KG"/>
              </w:rPr>
              <w:t>3158</w:t>
            </w:r>
          </w:p>
        </w:tc>
        <w:tc>
          <w:tcPr>
            <w:tcW w:w="1547" w:type="dxa"/>
          </w:tcPr>
          <w:p w:rsidR="00254EE8" w:rsidRPr="007735B7" w:rsidRDefault="00254EE8" w:rsidP="007735B7">
            <w:pPr>
              <w:jc w:val="center"/>
              <w:rPr>
                <w:bCs/>
                <w:lang w:val="ky-KG"/>
              </w:rPr>
            </w:pPr>
            <w:r w:rsidRPr="007735B7">
              <w:rPr>
                <w:bCs/>
                <w:lang w:val="ky-KG"/>
              </w:rPr>
              <w:t>4171</w:t>
            </w:r>
          </w:p>
        </w:tc>
      </w:tr>
      <w:tr w:rsidR="00254EE8" w:rsidRPr="007735B7" w:rsidTr="00E301ED">
        <w:tc>
          <w:tcPr>
            <w:tcW w:w="2220" w:type="dxa"/>
          </w:tcPr>
          <w:p w:rsidR="00254EE8" w:rsidRPr="007735B7" w:rsidRDefault="00254EE8" w:rsidP="007735B7">
            <w:pPr>
              <w:jc w:val="center"/>
              <w:rPr>
                <w:bCs/>
                <w:lang w:val="ky-KG"/>
              </w:rPr>
            </w:pPr>
            <w:r w:rsidRPr="007735B7">
              <w:rPr>
                <w:bCs/>
                <w:lang w:val="ky-KG"/>
              </w:rPr>
              <w:t>Через 1 мес</w:t>
            </w:r>
            <w:r w:rsidR="007735B7" w:rsidRPr="007735B7">
              <w:rPr>
                <w:bCs/>
                <w:lang w:val="ky-KG"/>
              </w:rPr>
              <w:t>.</w:t>
            </w:r>
          </w:p>
        </w:tc>
        <w:tc>
          <w:tcPr>
            <w:tcW w:w="2244" w:type="dxa"/>
          </w:tcPr>
          <w:p w:rsidR="00254EE8" w:rsidRPr="007735B7" w:rsidRDefault="00254EE8" w:rsidP="007735B7">
            <w:pPr>
              <w:jc w:val="center"/>
              <w:rPr>
                <w:bCs/>
                <w:lang w:val="ky-KG"/>
              </w:rPr>
            </w:pPr>
            <w:r w:rsidRPr="007735B7">
              <w:rPr>
                <w:bCs/>
                <w:lang w:val="ky-KG"/>
              </w:rPr>
              <w:t>1755</w:t>
            </w:r>
          </w:p>
        </w:tc>
        <w:tc>
          <w:tcPr>
            <w:tcW w:w="2074" w:type="dxa"/>
          </w:tcPr>
          <w:p w:rsidR="00254EE8" w:rsidRPr="007735B7" w:rsidRDefault="00254EE8" w:rsidP="007735B7">
            <w:pPr>
              <w:jc w:val="center"/>
              <w:rPr>
                <w:bCs/>
                <w:lang w:val="ky-KG"/>
              </w:rPr>
            </w:pPr>
            <w:r w:rsidRPr="007735B7">
              <w:rPr>
                <w:bCs/>
                <w:lang w:val="ky-KG"/>
              </w:rPr>
              <w:t>2295</w:t>
            </w:r>
          </w:p>
        </w:tc>
        <w:tc>
          <w:tcPr>
            <w:tcW w:w="1769" w:type="dxa"/>
          </w:tcPr>
          <w:p w:rsidR="00254EE8" w:rsidRPr="007735B7" w:rsidRDefault="00254EE8" w:rsidP="007735B7">
            <w:pPr>
              <w:jc w:val="center"/>
              <w:rPr>
                <w:bCs/>
                <w:lang w:val="ky-KG"/>
              </w:rPr>
            </w:pPr>
            <w:r w:rsidRPr="007735B7">
              <w:rPr>
                <w:bCs/>
                <w:lang w:val="ky-KG"/>
              </w:rPr>
              <w:t>2755</w:t>
            </w:r>
          </w:p>
        </w:tc>
        <w:tc>
          <w:tcPr>
            <w:tcW w:w="1547" w:type="dxa"/>
          </w:tcPr>
          <w:p w:rsidR="00254EE8" w:rsidRPr="007735B7" w:rsidRDefault="00254EE8" w:rsidP="007735B7">
            <w:pPr>
              <w:jc w:val="center"/>
              <w:rPr>
                <w:bCs/>
                <w:lang w:val="ky-KG"/>
              </w:rPr>
            </w:pPr>
            <w:r w:rsidRPr="007735B7">
              <w:rPr>
                <w:bCs/>
                <w:lang w:val="ky-KG"/>
              </w:rPr>
              <w:t>3295</w:t>
            </w:r>
          </w:p>
        </w:tc>
      </w:tr>
      <w:tr w:rsidR="00254EE8" w:rsidRPr="007735B7" w:rsidTr="00E301ED">
        <w:tc>
          <w:tcPr>
            <w:tcW w:w="2220" w:type="dxa"/>
          </w:tcPr>
          <w:p w:rsidR="00254EE8" w:rsidRPr="007735B7" w:rsidRDefault="00254EE8" w:rsidP="007735B7">
            <w:pPr>
              <w:jc w:val="center"/>
              <w:rPr>
                <w:bCs/>
                <w:lang w:val="ky-KG"/>
              </w:rPr>
            </w:pPr>
            <w:r w:rsidRPr="007735B7">
              <w:rPr>
                <w:bCs/>
                <w:lang w:val="ky-KG"/>
              </w:rPr>
              <w:t>Через 6 мес.</w:t>
            </w:r>
          </w:p>
        </w:tc>
        <w:tc>
          <w:tcPr>
            <w:tcW w:w="2244" w:type="dxa"/>
          </w:tcPr>
          <w:p w:rsidR="00254EE8" w:rsidRPr="007735B7" w:rsidRDefault="00254EE8" w:rsidP="007735B7">
            <w:pPr>
              <w:jc w:val="center"/>
              <w:rPr>
                <w:bCs/>
                <w:lang w:val="ky-KG"/>
              </w:rPr>
            </w:pPr>
            <w:r w:rsidRPr="007735B7">
              <w:rPr>
                <w:bCs/>
                <w:lang w:val="ky-KG"/>
              </w:rPr>
              <w:t>1731</w:t>
            </w:r>
          </w:p>
        </w:tc>
        <w:tc>
          <w:tcPr>
            <w:tcW w:w="2074" w:type="dxa"/>
          </w:tcPr>
          <w:p w:rsidR="00254EE8" w:rsidRPr="007735B7" w:rsidRDefault="00254EE8" w:rsidP="007735B7">
            <w:pPr>
              <w:jc w:val="center"/>
              <w:rPr>
                <w:bCs/>
                <w:lang w:val="ky-KG"/>
              </w:rPr>
            </w:pPr>
            <w:r w:rsidRPr="007735B7">
              <w:rPr>
                <w:bCs/>
                <w:lang w:val="ky-KG"/>
              </w:rPr>
              <w:t>2271</w:t>
            </w:r>
          </w:p>
        </w:tc>
        <w:tc>
          <w:tcPr>
            <w:tcW w:w="1769" w:type="dxa"/>
          </w:tcPr>
          <w:p w:rsidR="00254EE8" w:rsidRPr="007735B7" w:rsidRDefault="00254EE8" w:rsidP="007735B7">
            <w:pPr>
              <w:jc w:val="center"/>
              <w:rPr>
                <w:bCs/>
                <w:lang w:val="ky-KG"/>
              </w:rPr>
            </w:pPr>
            <w:r w:rsidRPr="007735B7">
              <w:rPr>
                <w:bCs/>
                <w:lang w:val="ky-KG"/>
              </w:rPr>
              <w:t>2731</w:t>
            </w:r>
          </w:p>
        </w:tc>
        <w:tc>
          <w:tcPr>
            <w:tcW w:w="1547" w:type="dxa"/>
          </w:tcPr>
          <w:p w:rsidR="00254EE8" w:rsidRPr="007735B7" w:rsidRDefault="00254EE8" w:rsidP="007735B7">
            <w:pPr>
              <w:jc w:val="center"/>
              <w:rPr>
                <w:bCs/>
                <w:lang w:val="ky-KG"/>
              </w:rPr>
            </w:pPr>
            <w:r w:rsidRPr="007735B7">
              <w:rPr>
                <w:bCs/>
                <w:lang w:val="ky-KG"/>
              </w:rPr>
              <w:t>3271</w:t>
            </w:r>
          </w:p>
        </w:tc>
      </w:tr>
      <w:tr w:rsidR="00254EE8" w:rsidRPr="007735B7" w:rsidTr="00E301ED">
        <w:tc>
          <w:tcPr>
            <w:tcW w:w="2220" w:type="dxa"/>
          </w:tcPr>
          <w:p w:rsidR="00254EE8" w:rsidRPr="007735B7" w:rsidRDefault="00254EE8" w:rsidP="007735B7">
            <w:pPr>
              <w:jc w:val="center"/>
              <w:rPr>
                <w:bCs/>
                <w:lang w:val="ky-KG"/>
              </w:rPr>
            </w:pPr>
            <w:r w:rsidRPr="007735B7">
              <w:rPr>
                <w:bCs/>
                <w:lang w:val="ky-KG"/>
              </w:rPr>
              <w:t>Через 12 мес</w:t>
            </w:r>
            <w:r w:rsidR="007735B7" w:rsidRPr="007735B7">
              <w:rPr>
                <w:bCs/>
                <w:lang w:val="ky-KG"/>
              </w:rPr>
              <w:t>.</w:t>
            </w:r>
          </w:p>
        </w:tc>
        <w:tc>
          <w:tcPr>
            <w:tcW w:w="2244" w:type="dxa"/>
          </w:tcPr>
          <w:p w:rsidR="00254EE8" w:rsidRPr="007735B7" w:rsidRDefault="00254EE8" w:rsidP="007735B7">
            <w:pPr>
              <w:jc w:val="center"/>
              <w:rPr>
                <w:bCs/>
                <w:lang w:val="ky-KG"/>
              </w:rPr>
            </w:pPr>
            <w:r w:rsidRPr="007735B7">
              <w:rPr>
                <w:bCs/>
                <w:lang w:val="ky-KG"/>
              </w:rPr>
              <w:t>1884</w:t>
            </w:r>
          </w:p>
        </w:tc>
        <w:tc>
          <w:tcPr>
            <w:tcW w:w="2074" w:type="dxa"/>
          </w:tcPr>
          <w:p w:rsidR="00254EE8" w:rsidRPr="007735B7" w:rsidRDefault="00254EE8" w:rsidP="007735B7">
            <w:pPr>
              <w:jc w:val="center"/>
              <w:rPr>
                <w:bCs/>
                <w:lang w:val="ky-KG"/>
              </w:rPr>
            </w:pPr>
            <w:r w:rsidRPr="007735B7">
              <w:rPr>
                <w:bCs/>
                <w:lang w:val="ky-KG"/>
              </w:rPr>
              <w:t>2424</w:t>
            </w:r>
          </w:p>
        </w:tc>
        <w:tc>
          <w:tcPr>
            <w:tcW w:w="1769" w:type="dxa"/>
          </w:tcPr>
          <w:p w:rsidR="00254EE8" w:rsidRPr="007735B7" w:rsidRDefault="00254EE8" w:rsidP="007735B7">
            <w:pPr>
              <w:jc w:val="center"/>
              <w:rPr>
                <w:bCs/>
                <w:lang w:val="ky-KG"/>
              </w:rPr>
            </w:pPr>
            <w:r w:rsidRPr="007735B7">
              <w:rPr>
                <w:bCs/>
                <w:lang w:val="ky-KG"/>
              </w:rPr>
              <w:t>2884</w:t>
            </w:r>
          </w:p>
        </w:tc>
        <w:tc>
          <w:tcPr>
            <w:tcW w:w="1547" w:type="dxa"/>
          </w:tcPr>
          <w:p w:rsidR="00254EE8" w:rsidRPr="007735B7" w:rsidRDefault="00254EE8" w:rsidP="007735B7">
            <w:pPr>
              <w:jc w:val="center"/>
              <w:rPr>
                <w:bCs/>
                <w:lang w:val="ky-KG"/>
              </w:rPr>
            </w:pPr>
            <w:r w:rsidRPr="007735B7">
              <w:rPr>
                <w:bCs/>
                <w:lang w:val="ky-KG"/>
              </w:rPr>
              <w:t>3424</w:t>
            </w:r>
          </w:p>
        </w:tc>
      </w:tr>
    </w:tbl>
    <w:p w:rsidR="00AA269C" w:rsidRDefault="00AA269C" w:rsidP="004106FA">
      <w:pPr>
        <w:jc w:val="both"/>
        <w:rPr>
          <w:b/>
          <w:bCs/>
          <w:sz w:val="28"/>
          <w:szCs w:val="28"/>
        </w:rPr>
      </w:pPr>
    </w:p>
    <w:p w:rsidR="00254EE8" w:rsidRPr="007F0E89" w:rsidRDefault="007F0E89" w:rsidP="007F0E89">
      <w:pPr>
        <w:rPr>
          <w:b/>
          <w:bCs/>
        </w:rPr>
      </w:pPr>
      <w:r w:rsidRPr="007F0E89">
        <w:rPr>
          <w:b/>
          <w:bCs/>
        </w:rPr>
        <w:t xml:space="preserve">Таблица 6- </w:t>
      </w:r>
      <w:r w:rsidR="00254EE8" w:rsidRPr="007F0E89">
        <w:rPr>
          <w:b/>
          <w:bCs/>
        </w:rPr>
        <w:t>Рецидивы по срокам развития</w:t>
      </w:r>
    </w:p>
    <w:p w:rsidR="00AA269C" w:rsidRPr="007F0E89" w:rsidRDefault="00AA269C" w:rsidP="004106FA">
      <w:pPr>
        <w:jc w:val="both"/>
        <w:rPr>
          <w:b/>
          <w:bCs/>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276"/>
        <w:gridCol w:w="992"/>
        <w:gridCol w:w="993"/>
        <w:gridCol w:w="992"/>
        <w:gridCol w:w="992"/>
        <w:gridCol w:w="1701"/>
        <w:gridCol w:w="1701"/>
      </w:tblGrid>
      <w:tr w:rsidR="00254EE8" w:rsidRPr="007735B7" w:rsidTr="007F0E89">
        <w:tc>
          <w:tcPr>
            <w:tcW w:w="1242" w:type="dxa"/>
            <w:shd w:val="clear" w:color="auto" w:fill="auto"/>
            <w:vAlign w:val="center"/>
          </w:tcPr>
          <w:p w:rsidR="00254EE8" w:rsidRPr="007F0E89" w:rsidRDefault="00254EE8" w:rsidP="007F0E89">
            <w:pPr>
              <w:jc w:val="center"/>
              <w:rPr>
                <w:b/>
              </w:rPr>
            </w:pPr>
            <w:r w:rsidRPr="007F0E89">
              <w:rPr>
                <w:b/>
              </w:rPr>
              <w:t>Группы больных</w:t>
            </w:r>
          </w:p>
        </w:tc>
        <w:tc>
          <w:tcPr>
            <w:tcW w:w="1276" w:type="dxa"/>
            <w:shd w:val="clear" w:color="auto" w:fill="auto"/>
            <w:vAlign w:val="center"/>
          </w:tcPr>
          <w:p w:rsidR="00254EE8" w:rsidRPr="007F0E89" w:rsidRDefault="00254EE8" w:rsidP="007F0E89">
            <w:pPr>
              <w:jc w:val="center"/>
              <w:rPr>
                <w:b/>
              </w:rPr>
            </w:pPr>
            <w:r w:rsidRPr="007F0E89">
              <w:rPr>
                <w:b/>
              </w:rPr>
              <w:t>Кол-во больных</w:t>
            </w:r>
          </w:p>
        </w:tc>
        <w:tc>
          <w:tcPr>
            <w:tcW w:w="7371" w:type="dxa"/>
            <w:gridSpan w:val="6"/>
            <w:shd w:val="clear" w:color="auto" w:fill="auto"/>
            <w:vAlign w:val="center"/>
          </w:tcPr>
          <w:p w:rsidR="00254EE8" w:rsidRPr="007F0E89" w:rsidRDefault="00254EE8" w:rsidP="007F0E89">
            <w:pPr>
              <w:jc w:val="center"/>
              <w:rPr>
                <w:b/>
              </w:rPr>
            </w:pPr>
            <w:r w:rsidRPr="007F0E89">
              <w:rPr>
                <w:b/>
              </w:rPr>
              <w:t>Рецидив по срокам развития</w:t>
            </w:r>
          </w:p>
        </w:tc>
      </w:tr>
      <w:tr w:rsidR="00254EE8" w:rsidRPr="007735B7" w:rsidTr="007F0E89">
        <w:tc>
          <w:tcPr>
            <w:tcW w:w="1242" w:type="dxa"/>
            <w:shd w:val="clear" w:color="auto" w:fill="auto"/>
            <w:vAlign w:val="center"/>
          </w:tcPr>
          <w:p w:rsidR="00254EE8" w:rsidRPr="007F0E89" w:rsidRDefault="00254EE8" w:rsidP="007F0E89">
            <w:pPr>
              <w:jc w:val="center"/>
              <w:rPr>
                <w:b/>
              </w:rPr>
            </w:pPr>
          </w:p>
        </w:tc>
        <w:tc>
          <w:tcPr>
            <w:tcW w:w="1276" w:type="dxa"/>
            <w:shd w:val="clear" w:color="auto" w:fill="auto"/>
            <w:vAlign w:val="center"/>
          </w:tcPr>
          <w:p w:rsidR="00254EE8" w:rsidRPr="007F0E89" w:rsidRDefault="00254EE8" w:rsidP="007F0E89">
            <w:pPr>
              <w:jc w:val="center"/>
              <w:rPr>
                <w:b/>
              </w:rPr>
            </w:pPr>
          </w:p>
        </w:tc>
        <w:tc>
          <w:tcPr>
            <w:tcW w:w="1985" w:type="dxa"/>
            <w:gridSpan w:val="2"/>
            <w:shd w:val="clear" w:color="auto" w:fill="auto"/>
            <w:vAlign w:val="center"/>
          </w:tcPr>
          <w:p w:rsidR="00254EE8" w:rsidRPr="007F0E89" w:rsidRDefault="00254EE8" w:rsidP="007F0E89">
            <w:pPr>
              <w:jc w:val="center"/>
              <w:rPr>
                <w:b/>
              </w:rPr>
            </w:pPr>
            <w:r w:rsidRPr="007F0E89">
              <w:rPr>
                <w:b/>
              </w:rPr>
              <w:t>Краткосрочный период 1 мес.</w:t>
            </w:r>
          </w:p>
        </w:tc>
        <w:tc>
          <w:tcPr>
            <w:tcW w:w="1984" w:type="dxa"/>
            <w:gridSpan w:val="2"/>
            <w:shd w:val="clear" w:color="auto" w:fill="auto"/>
            <w:vAlign w:val="center"/>
          </w:tcPr>
          <w:p w:rsidR="00254EE8" w:rsidRPr="007F0E89" w:rsidRDefault="00254EE8" w:rsidP="007F0E89">
            <w:pPr>
              <w:jc w:val="center"/>
              <w:rPr>
                <w:b/>
              </w:rPr>
            </w:pPr>
            <w:r w:rsidRPr="007F0E89">
              <w:rPr>
                <w:b/>
              </w:rPr>
              <w:t>Среднесрочный</w:t>
            </w:r>
          </w:p>
          <w:p w:rsidR="00254EE8" w:rsidRPr="007F0E89" w:rsidRDefault="00254EE8" w:rsidP="007F0E89">
            <w:pPr>
              <w:jc w:val="center"/>
              <w:rPr>
                <w:b/>
              </w:rPr>
            </w:pPr>
            <w:r w:rsidRPr="007F0E89">
              <w:rPr>
                <w:b/>
              </w:rPr>
              <w:t>6 мес.</w:t>
            </w:r>
          </w:p>
        </w:tc>
        <w:tc>
          <w:tcPr>
            <w:tcW w:w="3402" w:type="dxa"/>
            <w:gridSpan w:val="2"/>
            <w:shd w:val="clear" w:color="auto" w:fill="auto"/>
            <w:vAlign w:val="center"/>
          </w:tcPr>
          <w:p w:rsidR="007F0E89" w:rsidRDefault="00254EE8" w:rsidP="007F0E89">
            <w:pPr>
              <w:jc w:val="center"/>
              <w:rPr>
                <w:b/>
              </w:rPr>
            </w:pPr>
            <w:r w:rsidRPr="007F0E89">
              <w:rPr>
                <w:b/>
              </w:rPr>
              <w:t>Отдаленные результаты</w:t>
            </w:r>
          </w:p>
          <w:p w:rsidR="00254EE8" w:rsidRPr="007F0E89" w:rsidRDefault="00254EE8" w:rsidP="007F0E89">
            <w:pPr>
              <w:jc w:val="center"/>
              <w:rPr>
                <w:b/>
              </w:rPr>
            </w:pPr>
            <w:r w:rsidRPr="007F0E89">
              <w:rPr>
                <w:b/>
              </w:rPr>
              <w:t>(12 мес.)</w:t>
            </w:r>
          </w:p>
        </w:tc>
      </w:tr>
      <w:tr w:rsidR="00254EE8" w:rsidRPr="007735B7" w:rsidTr="007F0E89">
        <w:tc>
          <w:tcPr>
            <w:tcW w:w="1242" w:type="dxa"/>
            <w:shd w:val="clear" w:color="auto" w:fill="auto"/>
          </w:tcPr>
          <w:p w:rsidR="00254EE8" w:rsidRPr="007735B7" w:rsidRDefault="00254EE8" w:rsidP="007735B7">
            <w:pPr>
              <w:jc w:val="center"/>
            </w:pPr>
          </w:p>
        </w:tc>
        <w:tc>
          <w:tcPr>
            <w:tcW w:w="1276" w:type="dxa"/>
            <w:shd w:val="clear" w:color="auto" w:fill="auto"/>
          </w:tcPr>
          <w:p w:rsidR="00254EE8" w:rsidRPr="007735B7" w:rsidRDefault="00254EE8" w:rsidP="007735B7">
            <w:pPr>
              <w:jc w:val="center"/>
            </w:pPr>
          </w:p>
        </w:tc>
        <w:tc>
          <w:tcPr>
            <w:tcW w:w="992" w:type="dxa"/>
            <w:shd w:val="clear" w:color="auto" w:fill="auto"/>
          </w:tcPr>
          <w:p w:rsidR="00254EE8" w:rsidRPr="007735B7" w:rsidRDefault="00254EE8" w:rsidP="007735B7">
            <w:pPr>
              <w:jc w:val="center"/>
            </w:pPr>
            <w:r w:rsidRPr="007735B7">
              <w:t>абс.</w:t>
            </w:r>
          </w:p>
        </w:tc>
        <w:tc>
          <w:tcPr>
            <w:tcW w:w="993" w:type="dxa"/>
            <w:shd w:val="clear" w:color="auto" w:fill="auto"/>
          </w:tcPr>
          <w:p w:rsidR="00254EE8" w:rsidRPr="007735B7" w:rsidRDefault="00254EE8" w:rsidP="007735B7">
            <w:pPr>
              <w:jc w:val="center"/>
            </w:pPr>
            <w:r w:rsidRPr="007735B7">
              <w:t>%</w:t>
            </w:r>
          </w:p>
        </w:tc>
        <w:tc>
          <w:tcPr>
            <w:tcW w:w="992" w:type="dxa"/>
            <w:shd w:val="clear" w:color="auto" w:fill="auto"/>
          </w:tcPr>
          <w:p w:rsidR="00254EE8" w:rsidRPr="007735B7" w:rsidRDefault="00254EE8" w:rsidP="007735B7">
            <w:pPr>
              <w:jc w:val="center"/>
            </w:pPr>
            <w:r w:rsidRPr="007735B7">
              <w:t>абс.</w:t>
            </w:r>
          </w:p>
        </w:tc>
        <w:tc>
          <w:tcPr>
            <w:tcW w:w="992" w:type="dxa"/>
            <w:shd w:val="clear" w:color="auto" w:fill="auto"/>
          </w:tcPr>
          <w:p w:rsidR="00254EE8" w:rsidRPr="007735B7" w:rsidRDefault="00254EE8" w:rsidP="007735B7">
            <w:pPr>
              <w:jc w:val="center"/>
            </w:pPr>
            <w:r w:rsidRPr="007735B7">
              <w:t>%</w:t>
            </w:r>
          </w:p>
        </w:tc>
        <w:tc>
          <w:tcPr>
            <w:tcW w:w="1701" w:type="dxa"/>
            <w:shd w:val="clear" w:color="auto" w:fill="auto"/>
          </w:tcPr>
          <w:p w:rsidR="00254EE8" w:rsidRPr="007735B7" w:rsidRDefault="00254EE8" w:rsidP="007735B7">
            <w:pPr>
              <w:jc w:val="center"/>
            </w:pPr>
            <w:r w:rsidRPr="007735B7">
              <w:t>абс.</w:t>
            </w:r>
          </w:p>
        </w:tc>
        <w:tc>
          <w:tcPr>
            <w:tcW w:w="1701" w:type="dxa"/>
            <w:shd w:val="clear" w:color="auto" w:fill="auto"/>
          </w:tcPr>
          <w:p w:rsidR="00254EE8" w:rsidRPr="007735B7" w:rsidRDefault="00254EE8" w:rsidP="007735B7">
            <w:pPr>
              <w:jc w:val="center"/>
            </w:pPr>
            <w:r w:rsidRPr="007735B7">
              <w:t>%</w:t>
            </w:r>
          </w:p>
        </w:tc>
      </w:tr>
      <w:tr w:rsidR="00254EE8" w:rsidRPr="007735B7" w:rsidTr="007F0E89">
        <w:tc>
          <w:tcPr>
            <w:tcW w:w="1242" w:type="dxa"/>
            <w:shd w:val="clear" w:color="auto" w:fill="auto"/>
          </w:tcPr>
          <w:p w:rsidR="00254EE8" w:rsidRPr="007735B7" w:rsidRDefault="00254EE8" w:rsidP="007735B7">
            <w:pPr>
              <w:jc w:val="center"/>
            </w:pPr>
            <w:r w:rsidRPr="007735B7">
              <w:t>1</w:t>
            </w:r>
          </w:p>
        </w:tc>
        <w:tc>
          <w:tcPr>
            <w:tcW w:w="1276" w:type="dxa"/>
            <w:shd w:val="clear" w:color="auto" w:fill="auto"/>
          </w:tcPr>
          <w:p w:rsidR="00254EE8" w:rsidRPr="007735B7" w:rsidRDefault="00254EE8" w:rsidP="007735B7">
            <w:pPr>
              <w:jc w:val="center"/>
            </w:pPr>
            <w:r w:rsidRPr="007735B7">
              <w:t>43</w:t>
            </w:r>
          </w:p>
        </w:tc>
        <w:tc>
          <w:tcPr>
            <w:tcW w:w="992" w:type="dxa"/>
            <w:shd w:val="clear" w:color="auto" w:fill="auto"/>
          </w:tcPr>
          <w:p w:rsidR="00254EE8" w:rsidRPr="007735B7" w:rsidRDefault="00254EE8" w:rsidP="007735B7">
            <w:pPr>
              <w:jc w:val="center"/>
            </w:pPr>
            <w:r w:rsidRPr="007735B7">
              <w:t>30</w:t>
            </w:r>
          </w:p>
        </w:tc>
        <w:tc>
          <w:tcPr>
            <w:tcW w:w="993" w:type="dxa"/>
            <w:shd w:val="clear" w:color="auto" w:fill="auto"/>
          </w:tcPr>
          <w:p w:rsidR="00254EE8" w:rsidRPr="007735B7" w:rsidRDefault="00254EE8" w:rsidP="007735B7">
            <w:pPr>
              <w:jc w:val="center"/>
            </w:pPr>
            <w:r w:rsidRPr="007735B7">
              <w:t>69,7</w:t>
            </w:r>
          </w:p>
        </w:tc>
        <w:tc>
          <w:tcPr>
            <w:tcW w:w="992" w:type="dxa"/>
            <w:shd w:val="clear" w:color="auto" w:fill="auto"/>
          </w:tcPr>
          <w:p w:rsidR="00254EE8" w:rsidRPr="007735B7" w:rsidRDefault="00254EE8" w:rsidP="007735B7">
            <w:pPr>
              <w:jc w:val="center"/>
            </w:pPr>
            <w:r w:rsidRPr="007735B7">
              <w:t>36</w:t>
            </w:r>
          </w:p>
        </w:tc>
        <w:tc>
          <w:tcPr>
            <w:tcW w:w="992" w:type="dxa"/>
            <w:shd w:val="clear" w:color="auto" w:fill="auto"/>
          </w:tcPr>
          <w:p w:rsidR="00254EE8" w:rsidRPr="007735B7" w:rsidRDefault="00254EE8" w:rsidP="007735B7">
            <w:pPr>
              <w:jc w:val="center"/>
            </w:pPr>
            <w:r w:rsidRPr="007735B7">
              <w:t>83,7</w:t>
            </w:r>
          </w:p>
        </w:tc>
        <w:tc>
          <w:tcPr>
            <w:tcW w:w="1701" w:type="dxa"/>
            <w:shd w:val="clear" w:color="auto" w:fill="auto"/>
          </w:tcPr>
          <w:p w:rsidR="00254EE8" w:rsidRPr="007735B7" w:rsidRDefault="00254EE8" w:rsidP="007735B7">
            <w:pPr>
              <w:jc w:val="center"/>
            </w:pPr>
            <w:r w:rsidRPr="007735B7">
              <w:t>40</w:t>
            </w:r>
          </w:p>
        </w:tc>
        <w:tc>
          <w:tcPr>
            <w:tcW w:w="1701" w:type="dxa"/>
            <w:shd w:val="clear" w:color="auto" w:fill="auto"/>
          </w:tcPr>
          <w:p w:rsidR="00254EE8" w:rsidRPr="007735B7" w:rsidRDefault="00254EE8" w:rsidP="007735B7">
            <w:pPr>
              <w:jc w:val="center"/>
            </w:pPr>
            <w:r w:rsidRPr="007735B7">
              <w:t>93</w:t>
            </w:r>
          </w:p>
        </w:tc>
      </w:tr>
      <w:tr w:rsidR="00254EE8" w:rsidRPr="007735B7" w:rsidTr="007F0E89">
        <w:tc>
          <w:tcPr>
            <w:tcW w:w="1242" w:type="dxa"/>
            <w:shd w:val="clear" w:color="auto" w:fill="auto"/>
          </w:tcPr>
          <w:p w:rsidR="00254EE8" w:rsidRPr="007735B7" w:rsidRDefault="00254EE8" w:rsidP="007735B7">
            <w:pPr>
              <w:jc w:val="center"/>
            </w:pPr>
            <w:r w:rsidRPr="007735B7">
              <w:t>2</w:t>
            </w:r>
          </w:p>
        </w:tc>
        <w:tc>
          <w:tcPr>
            <w:tcW w:w="1276" w:type="dxa"/>
            <w:shd w:val="clear" w:color="auto" w:fill="auto"/>
          </w:tcPr>
          <w:p w:rsidR="00254EE8" w:rsidRPr="007735B7" w:rsidRDefault="00254EE8" w:rsidP="007735B7">
            <w:pPr>
              <w:jc w:val="center"/>
            </w:pPr>
            <w:r w:rsidRPr="007735B7">
              <w:t>41</w:t>
            </w:r>
          </w:p>
        </w:tc>
        <w:tc>
          <w:tcPr>
            <w:tcW w:w="992" w:type="dxa"/>
            <w:shd w:val="clear" w:color="auto" w:fill="auto"/>
          </w:tcPr>
          <w:p w:rsidR="00254EE8" w:rsidRPr="007735B7" w:rsidRDefault="00254EE8" w:rsidP="007735B7">
            <w:pPr>
              <w:jc w:val="center"/>
            </w:pPr>
            <w:r w:rsidRPr="007735B7">
              <w:t>6</w:t>
            </w:r>
          </w:p>
        </w:tc>
        <w:tc>
          <w:tcPr>
            <w:tcW w:w="993" w:type="dxa"/>
            <w:shd w:val="clear" w:color="auto" w:fill="auto"/>
          </w:tcPr>
          <w:p w:rsidR="00254EE8" w:rsidRPr="007735B7" w:rsidRDefault="00254EE8" w:rsidP="007735B7">
            <w:pPr>
              <w:jc w:val="center"/>
            </w:pPr>
            <w:r w:rsidRPr="007735B7">
              <w:t>14,6</w:t>
            </w:r>
          </w:p>
        </w:tc>
        <w:tc>
          <w:tcPr>
            <w:tcW w:w="992" w:type="dxa"/>
            <w:shd w:val="clear" w:color="auto" w:fill="auto"/>
          </w:tcPr>
          <w:p w:rsidR="00254EE8" w:rsidRPr="007735B7" w:rsidRDefault="00254EE8" w:rsidP="007735B7">
            <w:pPr>
              <w:jc w:val="center"/>
            </w:pPr>
            <w:r w:rsidRPr="007735B7">
              <w:t>23</w:t>
            </w:r>
          </w:p>
        </w:tc>
        <w:tc>
          <w:tcPr>
            <w:tcW w:w="992" w:type="dxa"/>
            <w:shd w:val="clear" w:color="auto" w:fill="auto"/>
          </w:tcPr>
          <w:p w:rsidR="00254EE8" w:rsidRPr="007735B7" w:rsidRDefault="00254EE8" w:rsidP="007735B7">
            <w:pPr>
              <w:jc w:val="center"/>
            </w:pPr>
            <w:r w:rsidRPr="007735B7">
              <w:t>56,0</w:t>
            </w:r>
          </w:p>
        </w:tc>
        <w:tc>
          <w:tcPr>
            <w:tcW w:w="1701" w:type="dxa"/>
            <w:shd w:val="clear" w:color="auto" w:fill="auto"/>
          </w:tcPr>
          <w:p w:rsidR="00254EE8" w:rsidRPr="007735B7" w:rsidRDefault="00254EE8" w:rsidP="007735B7">
            <w:pPr>
              <w:jc w:val="center"/>
            </w:pPr>
            <w:r w:rsidRPr="007735B7">
              <w:t>26</w:t>
            </w:r>
          </w:p>
        </w:tc>
        <w:tc>
          <w:tcPr>
            <w:tcW w:w="1701" w:type="dxa"/>
            <w:shd w:val="clear" w:color="auto" w:fill="auto"/>
          </w:tcPr>
          <w:p w:rsidR="00254EE8" w:rsidRPr="007735B7" w:rsidRDefault="00254EE8" w:rsidP="007735B7">
            <w:pPr>
              <w:jc w:val="center"/>
            </w:pPr>
            <w:r w:rsidRPr="007735B7">
              <w:t>63,4</w:t>
            </w:r>
          </w:p>
        </w:tc>
      </w:tr>
      <w:tr w:rsidR="00254EE8" w:rsidRPr="007735B7" w:rsidTr="007F0E89">
        <w:tc>
          <w:tcPr>
            <w:tcW w:w="1242" w:type="dxa"/>
            <w:shd w:val="clear" w:color="auto" w:fill="auto"/>
          </w:tcPr>
          <w:p w:rsidR="00254EE8" w:rsidRPr="007735B7" w:rsidRDefault="00254EE8" w:rsidP="007735B7">
            <w:pPr>
              <w:jc w:val="center"/>
            </w:pPr>
            <w:r w:rsidRPr="007735B7">
              <w:t>3</w:t>
            </w:r>
          </w:p>
        </w:tc>
        <w:tc>
          <w:tcPr>
            <w:tcW w:w="1276" w:type="dxa"/>
            <w:shd w:val="clear" w:color="auto" w:fill="auto"/>
          </w:tcPr>
          <w:p w:rsidR="00254EE8" w:rsidRPr="007735B7" w:rsidRDefault="00254EE8" w:rsidP="007735B7">
            <w:pPr>
              <w:jc w:val="center"/>
            </w:pPr>
            <w:r w:rsidRPr="007735B7">
              <w:t>45</w:t>
            </w:r>
          </w:p>
        </w:tc>
        <w:tc>
          <w:tcPr>
            <w:tcW w:w="992" w:type="dxa"/>
            <w:shd w:val="clear" w:color="auto" w:fill="auto"/>
          </w:tcPr>
          <w:p w:rsidR="00254EE8" w:rsidRPr="007735B7" w:rsidRDefault="00254EE8" w:rsidP="007735B7">
            <w:pPr>
              <w:jc w:val="center"/>
            </w:pPr>
            <w:r w:rsidRPr="007735B7">
              <w:t>17</w:t>
            </w:r>
          </w:p>
        </w:tc>
        <w:tc>
          <w:tcPr>
            <w:tcW w:w="993" w:type="dxa"/>
            <w:shd w:val="clear" w:color="auto" w:fill="auto"/>
          </w:tcPr>
          <w:p w:rsidR="00254EE8" w:rsidRPr="007735B7" w:rsidRDefault="00254EE8" w:rsidP="007735B7">
            <w:pPr>
              <w:jc w:val="center"/>
            </w:pPr>
            <w:r w:rsidRPr="007735B7">
              <w:t>37,7</w:t>
            </w:r>
          </w:p>
        </w:tc>
        <w:tc>
          <w:tcPr>
            <w:tcW w:w="992" w:type="dxa"/>
            <w:shd w:val="clear" w:color="auto" w:fill="auto"/>
          </w:tcPr>
          <w:p w:rsidR="00254EE8" w:rsidRPr="007735B7" w:rsidRDefault="00254EE8" w:rsidP="007735B7">
            <w:pPr>
              <w:jc w:val="center"/>
            </w:pPr>
            <w:r w:rsidRPr="007735B7">
              <w:t>28</w:t>
            </w:r>
          </w:p>
        </w:tc>
        <w:tc>
          <w:tcPr>
            <w:tcW w:w="992" w:type="dxa"/>
            <w:shd w:val="clear" w:color="auto" w:fill="auto"/>
          </w:tcPr>
          <w:p w:rsidR="00254EE8" w:rsidRPr="007735B7" w:rsidRDefault="00254EE8" w:rsidP="007735B7">
            <w:pPr>
              <w:jc w:val="center"/>
            </w:pPr>
            <w:r w:rsidRPr="007735B7">
              <w:t>62,2</w:t>
            </w:r>
          </w:p>
        </w:tc>
        <w:tc>
          <w:tcPr>
            <w:tcW w:w="1701" w:type="dxa"/>
            <w:shd w:val="clear" w:color="auto" w:fill="auto"/>
          </w:tcPr>
          <w:p w:rsidR="00254EE8" w:rsidRPr="007735B7" w:rsidRDefault="00254EE8" w:rsidP="007735B7">
            <w:pPr>
              <w:jc w:val="center"/>
            </w:pPr>
            <w:r w:rsidRPr="007735B7">
              <w:t>31</w:t>
            </w:r>
          </w:p>
        </w:tc>
        <w:tc>
          <w:tcPr>
            <w:tcW w:w="1701" w:type="dxa"/>
            <w:shd w:val="clear" w:color="auto" w:fill="auto"/>
          </w:tcPr>
          <w:p w:rsidR="00254EE8" w:rsidRPr="007735B7" w:rsidRDefault="00254EE8" w:rsidP="007735B7">
            <w:pPr>
              <w:jc w:val="center"/>
            </w:pPr>
            <w:r w:rsidRPr="007735B7">
              <w:t>69,0</w:t>
            </w:r>
          </w:p>
        </w:tc>
      </w:tr>
      <w:tr w:rsidR="00254EE8" w:rsidRPr="007735B7" w:rsidTr="007F0E89">
        <w:tc>
          <w:tcPr>
            <w:tcW w:w="1242" w:type="dxa"/>
            <w:shd w:val="clear" w:color="auto" w:fill="auto"/>
          </w:tcPr>
          <w:p w:rsidR="00254EE8" w:rsidRPr="007735B7" w:rsidRDefault="00254EE8" w:rsidP="007735B7">
            <w:pPr>
              <w:jc w:val="center"/>
            </w:pPr>
            <w:r w:rsidRPr="007735B7">
              <w:t>4</w:t>
            </w:r>
          </w:p>
        </w:tc>
        <w:tc>
          <w:tcPr>
            <w:tcW w:w="1276" w:type="dxa"/>
            <w:shd w:val="clear" w:color="auto" w:fill="auto"/>
          </w:tcPr>
          <w:p w:rsidR="00254EE8" w:rsidRPr="007735B7" w:rsidRDefault="00254EE8" w:rsidP="007735B7">
            <w:pPr>
              <w:jc w:val="center"/>
            </w:pPr>
            <w:r w:rsidRPr="007735B7">
              <w:t>39</w:t>
            </w:r>
          </w:p>
        </w:tc>
        <w:tc>
          <w:tcPr>
            <w:tcW w:w="992" w:type="dxa"/>
            <w:shd w:val="clear" w:color="auto" w:fill="auto"/>
          </w:tcPr>
          <w:p w:rsidR="00254EE8" w:rsidRPr="007735B7" w:rsidRDefault="00254EE8" w:rsidP="007735B7">
            <w:pPr>
              <w:jc w:val="center"/>
            </w:pPr>
            <w:r w:rsidRPr="007735B7">
              <w:t>3</w:t>
            </w:r>
          </w:p>
        </w:tc>
        <w:tc>
          <w:tcPr>
            <w:tcW w:w="993" w:type="dxa"/>
            <w:shd w:val="clear" w:color="auto" w:fill="auto"/>
          </w:tcPr>
          <w:p w:rsidR="00254EE8" w:rsidRPr="007735B7" w:rsidRDefault="00254EE8" w:rsidP="007735B7">
            <w:pPr>
              <w:jc w:val="center"/>
            </w:pPr>
            <w:r w:rsidRPr="007735B7">
              <w:t>7,7</w:t>
            </w:r>
          </w:p>
        </w:tc>
        <w:tc>
          <w:tcPr>
            <w:tcW w:w="992" w:type="dxa"/>
            <w:shd w:val="clear" w:color="auto" w:fill="auto"/>
          </w:tcPr>
          <w:p w:rsidR="00254EE8" w:rsidRPr="007735B7" w:rsidRDefault="00254EE8" w:rsidP="007735B7">
            <w:pPr>
              <w:jc w:val="center"/>
            </w:pPr>
            <w:r w:rsidRPr="007735B7">
              <w:t>7</w:t>
            </w:r>
          </w:p>
        </w:tc>
        <w:tc>
          <w:tcPr>
            <w:tcW w:w="992" w:type="dxa"/>
            <w:shd w:val="clear" w:color="auto" w:fill="auto"/>
          </w:tcPr>
          <w:p w:rsidR="00254EE8" w:rsidRPr="007735B7" w:rsidRDefault="00254EE8" w:rsidP="007735B7">
            <w:pPr>
              <w:jc w:val="center"/>
            </w:pPr>
            <w:r w:rsidRPr="007735B7">
              <w:t>18,0</w:t>
            </w:r>
          </w:p>
        </w:tc>
        <w:tc>
          <w:tcPr>
            <w:tcW w:w="1701" w:type="dxa"/>
            <w:shd w:val="clear" w:color="auto" w:fill="auto"/>
          </w:tcPr>
          <w:p w:rsidR="00254EE8" w:rsidRPr="007735B7" w:rsidRDefault="00254EE8" w:rsidP="007735B7">
            <w:pPr>
              <w:jc w:val="center"/>
            </w:pPr>
            <w:r w:rsidRPr="007735B7">
              <w:t>8</w:t>
            </w:r>
          </w:p>
        </w:tc>
        <w:tc>
          <w:tcPr>
            <w:tcW w:w="1701" w:type="dxa"/>
            <w:shd w:val="clear" w:color="auto" w:fill="auto"/>
          </w:tcPr>
          <w:p w:rsidR="00254EE8" w:rsidRPr="007735B7" w:rsidRDefault="00254EE8" w:rsidP="007735B7">
            <w:pPr>
              <w:jc w:val="center"/>
            </w:pPr>
            <w:r w:rsidRPr="007735B7">
              <w:t>20,5</w:t>
            </w:r>
          </w:p>
        </w:tc>
      </w:tr>
    </w:tbl>
    <w:p w:rsidR="00AA269C" w:rsidRPr="007F0E89" w:rsidRDefault="00AA269C" w:rsidP="004106FA">
      <w:pPr>
        <w:tabs>
          <w:tab w:val="left" w:pos="720"/>
        </w:tabs>
        <w:jc w:val="both"/>
        <w:rPr>
          <w:sz w:val="20"/>
          <w:szCs w:val="20"/>
        </w:rPr>
      </w:pPr>
    </w:p>
    <w:p w:rsidR="00254EE8" w:rsidRDefault="00AA269C" w:rsidP="004106FA">
      <w:pPr>
        <w:tabs>
          <w:tab w:val="left" w:pos="720"/>
        </w:tabs>
        <w:jc w:val="both"/>
        <w:rPr>
          <w:sz w:val="28"/>
          <w:szCs w:val="28"/>
          <w:lang w:bidi="my-MM"/>
        </w:rPr>
      </w:pPr>
      <w:r>
        <w:rPr>
          <w:sz w:val="28"/>
          <w:szCs w:val="28"/>
        </w:rPr>
        <w:tab/>
      </w:r>
      <w:r w:rsidR="00254EE8">
        <w:rPr>
          <w:sz w:val="28"/>
          <w:szCs w:val="28"/>
        </w:rPr>
        <w:t xml:space="preserve">Как показал анализ стоимости заболевания, наибольшее количество денежных средств было затрачено на лечение пациентов четвертой группы, а наименьшее на лечение пациентов первой группы. При этом расчет средней стоимости 10 дневного курса лечения одного пациента показал, что наиболее дешевым методом лечения являлась традиционная комплексная терапия с применением </w:t>
      </w:r>
      <w:r w:rsidR="00254EE8" w:rsidRPr="00D273AE">
        <w:rPr>
          <w:sz w:val="28"/>
          <w:szCs w:val="28"/>
          <w:lang w:bidi="my-MM"/>
        </w:rPr>
        <w:t>0,2%</w:t>
      </w:r>
      <w:r w:rsidR="00254EE8">
        <w:rPr>
          <w:sz w:val="28"/>
          <w:szCs w:val="28"/>
          <w:lang w:bidi="my-MM"/>
        </w:rPr>
        <w:t xml:space="preserve"> р-ра</w:t>
      </w:r>
      <w:r w:rsidR="00254EE8" w:rsidRPr="00D273AE">
        <w:rPr>
          <w:sz w:val="28"/>
          <w:szCs w:val="28"/>
          <w:lang w:bidi="my-MM"/>
        </w:rPr>
        <w:t xml:space="preserve"> хлоргексидин</w:t>
      </w:r>
      <w:r w:rsidR="00254EE8">
        <w:rPr>
          <w:sz w:val="28"/>
          <w:szCs w:val="28"/>
          <w:lang w:bidi="my-MM"/>
        </w:rPr>
        <w:t xml:space="preserve">а биглюконата (1 группа пациентов) – </w:t>
      </w:r>
      <w:r w:rsidR="00254EE8">
        <w:rPr>
          <w:sz w:val="28"/>
          <w:szCs w:val="28"/>
        </w:rPr>
        <w:lastRenderedPageBreak/>
        <w:t xml:space="preserve">2127 сом на 1 пациента. Средняя стоимость лечения одного пациента </w:t>
      </w:r>
      <w:r w:rsidR="00254EE8" w:rsidRPr="00D273AE">
        <w:rPr>
          <w:sz w:val="28"/>
          <w:szCs w:val="28"/>
          <w:lang w:bidi="my-MM"/>
        </w:rPr>
        <w:t>2</w:t>
      </w:r>
      <w:r w:rsidR="00254EE8">
        <w:rPr>
          <w:sz w:val="28"/>
          <w:szCs w:val="28"/>
          <w:lang w:bidi="my-MM"/>
        </w:rPr>
        <w:t xml:space="preserve"> и 3</w:t>
      </w:r>
      <w:r w:rsidR="00254EE8" w:rsidRPr="00D273AE">
        <w:rPr>
          <w:sz w:val="28"/>
          <w:szCs w:val="28"/>
          <w:lang w:bidi="my-MM"/>
        </w:rPr>
        <w:t xml:space="preserve"> групп</w:t>
      </w:r>
      <w:r w:rsidR="00254EE8">
        <w:rPr>
          <w:sz w:val="28"/>
          <w:szCs w:val="28"/>
          <w:lang w:bidi="my-MM"/>
        </w:rPr>
        <w:t xml:space="preserve"> была в 1,4 раза больше средней стоимости лечения одного пациента первой группы (</w:t>
      </w:r>
      <w:r w:rsidR="00254EE8">
        <w:rPr>
          <w:sz w:val="28"/>
          <w:szCs w:val="28"/>
        </w:rPr>
        <w:t>2749 и 3158 сом соответственно</w:t>
      </w:r>
      <w:r w:rsidR="00254EE8">
        <w:rPr>
          <w:sz w:val="28"/>
          <w:szCs w:val="28"/>
          <w:lang w:bidi="my-MM"/>
        </w:rPr>
        <w:t>). Средняя стоимость лечения одного пациента 4 группы (4171 сома) была в 1,9 раза больше чем у пациентов первой группы, и являлась самой высокой.</w:t>
      </w:r>
    </w:p>
    <w:p w:rsidR="00254EE8" w:rsidRDefault="00254EE8" w:rsidP="004106FA">
      <w:pPr>
        <w:tabs>
          <w:tab w:val="left" w:pos="720"/>
        </w:tabs>
        <w:jc w:val="both"/>
        <w:rPr>
          <w:sz w:val="28"/>
          <w:szCs w:val="28"/>
          <w:lang w:bidi="my-MM"/>
        </w:rPr>
      </w:pPr>
      <w:r>
        <w:rPr>
          <w:sz w:val="28"/>
          <w:szCs w:val="28"/>
          <w:lang w:bidi="my-MM"/>
        </w:rPr>
        <w:tab/>
        <w:t>Далее был проведен анализ структуры расходов, составляющих стоимость заболевания во всех сравниваемых группах (рис. 1.).</w:t>
      </w:r>
    </w:p>
    <w:p w:rsidR="00254EE8" w:rsidRDefault="00254EE8" w:rsidP="004106FA">
      <w:pPr>
        <w:tabs>
          <w:tab w:val="left" w:pos="720"/>
        </w:tabs>
        <w:jc w:val="center"/>
      </w:pPr>
      <w:r>
        <w:rPr>
          <w:noProof/>
        </w:rPr>
        <w:drawing>
          <wp:inline distT="0" distB="0" distL="0" distR="0">
            <wp:extent cx="5328139" cy="32619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335270" cy="3266312"/>
                    </a:xfrm>
                    <a:prstGeom prst="rect">
                      <a:avLst/>
                    </a:prstGeom>
                    <a:noFill/>
                    <a:ln w="9525">
                      <a:noFill/>
                      <a:miter lim="800000"/>
                      <a:headEnd/>
                      <a:tailEnd/>
                    </a:ln>
                  </pic:spPr>
                </pic:pic>
              </a:graphicData>
            </a:graphic>
          </wp:inline>
        </w:drawing>
      </w:r>
    </w:p>
    <w:p w:rsidR="00AA269C" w:rsidRPr="00AA269C" w:rsidRDefault="00254EE8" w:rsidP="00AA269C">
      <w:pPr>
        <w:tabs>
          <w:tab w:val="left" w:pos="720"/>
        </w:tabs>
        <w:jc w:val="center"/>
        <w:rPr>
          <w:b/>
        </w:rPr>
      </w:pPr>
      <w:r w:rsidRPr="00255916">
        <w:rPr>
          <w:b/>
        </w:rPr>
        <w:t>Рис.1. Структура прямых медицинских затрат в сравниваемых группах лечения</w:t>
      </w:r>
    </w:p>
    <w:p w:rsidR="007F0E89" w:rsidRPr="007F0E89" w:rsidRDefault="00254EE8" w:rsidP="004106FA">
      <w:pPr>
        <w:tabs>
          <w:tab w:val="left" w:pos="720"/>
        </w:tabs>
        <w:jc w:val="both"/>
        <w:rPr>
          <w:sz w:val="20"/>
          <w:szCs w:val="20"/>
        </w:rPr>
      </w:pPr>
      <w:r w:rsidRPr="00636720">
        <w:rPr>
          <w:sz w:val="28"/>
          <w:szCs w:val="28"/>
        </w:rPr>
        <w:tab/>
      </w:r>
    </w:p>
    <w:p w:rsidR="00254EE8" w:rsidRDefault="007F0E89" w:rsidP="004106FA">
      <w:pPr>
        <w:tabs>
          <w:tab w:val="left" w:pos="720"/>
        </w:tabs>
        <w:jc w:val="both"/>
        <w:rPr>
          <w:sz w:val="28"/>
          <w:szCs w:val="28"/>
        </w:rPr>
      </w:pPr>
      <w:r>
        <w:rPr>
          <w:sz w:val="28"/>
          <w:szCs w:val="28"/>
          <w:lang w:bidi="my-MM"/>
        </w:rPr>
        <w:tab/>
      </w:r>
      <w:r w:rsidR="00254EE8">
        <w:rPr>
          <w:sz w:val="28"/>
          <w:szCs w:val="28"/>
          <w:lang w:bidi="my-MM"/>
        </w:rPr>
        <w:t xml:space="preserve">Как видно из рисунка 1, </w:t>
      </w:r>
      <w:r w:rsidR="00254EE8">
        <w:rPr>
          <w:sz w:val="28"/>
          <w:szCs w:val="28"/>
        </w:rPr>
        <w:t>основная доля расходов во всех сравниваемых группах приходилась на лечебные процедуры и лечебные манипуляции (от 56,6% до 69,7%). Второе место в структуре расходов занимали затраты пациентов на лекарственные средства (от 22,2% до 34,8%), а затраты на диагностику и осмотр пациентов, в структуре расходов занимали третье и варьировали от 7,4% до 9,7%.</w:t>
      </w:r>
    </w:p>
    <w:p w:rsidR="00254EE8" w:rsidRDefault="00254EE8" w:rsidP="004106FA">
      <w:pPr>
        <w:ind w:firstLine="708"/>
        <w:jc w:val="both"/>
        <w:rPr>
          <w:sz w:val="28"/>
          <w:szCs w:val="28"/>
        </w:rPr>
      </w:pPr>
      <w:r>
        <w:rPr>
          <w:sz w:val="28"/>
          <w:szCs w:val="28"/>
        </w:rPr>
        <w:t>Далее был проведен анализ минимизации затрат, который показал, что наиболее дешевым методом лечения хронического генерализованного пародонтита средней степени тяжести является традиционная комплексная терапия (1 группа). У пациентов 2 группы средняя стоимость лечения 1 пациента была на 622 сома дороже, чем у пациентов 1 группы, у пациентов 3 группы на 1031 сом, а у пациентов 4 группы на 2044 сома. Таким образом, наиболее дорогим методом лечения хронического генерализованного пародонтита средней степени тяжести является применение лазеротерапии в сочетании с ровамицином, а наиболее дешевым методом является традиционная терапия хронического генерализованного пародонтита.</w:t>
      </w:r>
    </w:p>
    <w:p w:rsidR="00254EE8" w:rsidRDefault="00254EE8" w:rsidP="004106FA">
      <w:pPr>
        <w:tabs>
          <w:tab w:val="left" w:pos="720"/>
        </w:tabs>
        <w:jc w:val="both"/>
        <w:rPr>
          <w:sz w:val="28"/>
          <w:szCs w:val="28"/>
        </w:rPr>
      </w:pPr>
      <w:r>
        <w:rPr>
          <w:sz w:val="28"/>
          <w:szCs w:val="28"/>
        </w:rPr>
        <w:tab/>
        <w:t xml:space="preserve">Однако на основании данных анализа стоимости заболевания и минимизации затрат трудно дать объективную оценку экономической </w:t>
      </w:r>
      <w:r>
        <w:rPr>
          <w:sz w:val="28"/>
          <w:szCs w:val="28"/>
        </w:rPr>
        <w:lastRenderedPageBreak/>
        <w:t>выгодности сравниваемых нами методов лечения хронического генерализованного пародонтита средней степени тяжести. В связи с чем мы провели экономический анализ «</w:t>
      </w:r>
      <w:r w:rsidRPr="007B3BD3">
        <w:rPr>
          <w:bCs/>
          <w:iCs/>
          <w:sz w:val="28"/>
          <w:szCs w:val="28"/>
        </w:rPr>
        <w:t xml:space="preserve">затраты </w:t>
      </w:r>
      <w:r w:rsidRPr="007B3BD3">
        <w:rPr>
          <w:bCs/>
          <w:sz w:val="28"/>
          <w:szCs w:val="28"/>
        </w:rPr>
        <w:t xml:space="preserve">– </w:t>
      </w:r>
      <w:r w:rsidRPr="007B3BD3">
        <w:rPr>
          <w:bCs/>
          <w:iCs/>
          <w:sz w:val="28"/>
          <w:szCs w:val="28"/>
        </w:rPr>
        <w:t>эффективность</w:t>
      </w:r>
      <w:r>
        <w:rPr>
          <w:sz w:val="28"/>
          <w:szCs w:val="28"/>
        </w:rPr>
        <w:t>» позволяющий выявить сколько было затрачено денежных средств на</w:t>
      </w:r>
      <w:r w:rsidRPr="00DC531D">
        <w:rPr>
          <w:sz w:val="28"/>
          <w:szCs w:val="28"/>
        </w:rPr>
        <w:t xml:space="preserve"> </w:t>
      </w:r>
      <w:r w:rsidRPr="00A52D20">
        <w:rPr>
          <w:sz w:val="28"/>
          <w:szCs w:val="28"/>
        </w:rPr>
        <w:t>единицу эффективности лечения</w:t>
      </w:r>
      <w:r>
        <w:rPr>
          <w:sz w:val="28"/>
          <w:szCs w:val="28"/>
        </w:rPr>
        <w:t>, т.е. на одного вылеченного пациента.</w:t>
      </w:r>
    </w:p>
    <w:p w:rsidR="00254EE8" w:rsidRDefault="00254EE8" w:rsidP="004106FA">
      <w:pPr>
        <w:tabs>
          <w:tab w:val="left" w:pos="720"/>
        </w:tabs>
        <w:jc w:val="both"/>
        <w:rPr>
          <w:sz w:val="28"/>
          <w:szCs w:val="28"/>
        </w:rPr>
      </w:pPr>
      <w:r>
        <w:rPr>
          <w:sz w:val="28"/>
          <w:szCs w:val="28"/>
        </w:rPr>
        <w:tab/>
        <w:t>При оценке методом «</w:t>
      </w:r>
      <w:r w:rsidRPr="007B3BD3">
        <w:rPr>
          <w:bCs/>
          <w:iCs/>
          <w:sz w:val="28"/>
          <w:szCs w:val="28"/>
        </w:rPr>
        <w:t xml:space="preserve">затраты </w:t>
      </w:r>
      <w:r w:rsidRPr="007B3BD3">
        <w:rPr>
          <w:bCs/>
          <w:sz w:val="28"/>
          <w:szCs w:val="28"/>
        </w:rPr>
        <w:t xml:space="preserve">– </w:t>
      </w:r>
      <w:r w:rsidRPr="007B3BD3">
        <w:rPr>
          <w:bCs/>
          <w:iCs/>
          <w:sz w:val="28"/>
          <w:szCs w:val="28"/>
        </w:rPr>
        <w:t>эффективность</w:t>
      </w:r>
      <w:r>
        <w:rPr>
          <w:sz w:val="28"/>
          <w:szCs w:val="28"/>
        </w:rPr>
        <w:t>» учитывались ближайшие (через 30 дней после лечения) клинические результаты лечения пациентов сравниваемых групп. Так на 30 день, после проведенной терапии только у 13 из 43 пациентов 1 группы было выявлено отсутствие клинических признаков хронического пародонтита, у пациентов 2 группы отсутствие данных признаков было выявлено у 35 из 41 больного. У пациентов 3 группы клинические признаки хронического пародонтита отсутствовали у 28 из 45 пролеченных, а у пациентов 4 группы у 36 их 39 пролеченных. Очевидно, что наиболее эффективным, с клинической точки зрения является, является 4 метод лечения (ровамицин + лазеротерапия), на втором месте находится 2 метод лечения (традиционная терапия + ровамицин), на третьем месте 3 метод лечения (традиционная терапия + лазеротерапия). Традиционная терапия хронического генерализованного пародонтита средней степени тяжести имела самую низкую клиническую эффективность среди сравниваемых методов лечения.</w:t>
      </w:r>
      <w:r>
        <w:rPr>
          <w:sz w:val="28"/>
          <w:szCs w:val="28"/>
        </w:rPr>
        <w:tab/>
      </w:r>
    </w:p>
    <w:p w:rsidR="00254EE8" w:rsidRDefault="00254EE8" w:rsidP="00AA269C">
      <w:pPr>
        <w:widowControl w:val="0"/>
        <w:adjustRightInd w:val="0"/>
        <w:ind w:firstLine="708"/>
        <w:jc w:val="both"/>
        <w:textAlignment w:val="baseline"/>
        <w:rPr>
          <w:sz w:val="28"/>
          <w:szCs w:val="28"/>
        </w:rPr>
      </w:pPr>
      <w:r w:rsidRPr="00EA67B0">
        <w:rPr>
          <w:sz w:val="28"/>
          <w:szCs w:val="28"/>
        </w:rPr>
        <w:t>Таким образом,</w:t>
      </w:r>
      <w:r>
        <w:rPr>
          <w:sz w:val="28"/>
          <w:szCs w:val="28"/>
        </w:rPr>
        <w:t xml:space="preserve"> комплексная оценка клинической эффективности и экономической выгодности на основании р</w:t>
      </w:r>
      <w:r w:rsidRPr="00EA67B0">
        <w:rPr>
          <w:sz w:val="28"/>
          <w:szCs w:val="28"/>
        </w:rPr>
        <w:t>езультат</w:t>
      </w:r>
      <w:r>
        <w:rPr>
          <w:sz w:val="28"/>
          <w:szCs w:val="28"/>
        </w:rPr>
        <w:t xml:space="preserve">ов </w:t>
      </w:r>
      <w:r w:rsidRPr="00EA67B0">
        <w:rPr>
          <w:sz w:val="28"/>
          <w:szCs w:val="28"/>
        </w:rPr>
        <w:t>фа</w:t>
      </w:r>
      <w:r>
        <w:rPr>
          <w:sz w:val="28"/>
          <w:szCs w:val="28"/>
        </w:rPr>
        <w:t xml:space="preserve">рмакоэкономического анализа </w:t>
      </w:r>
      <w:r w:rsidRPr="00EA67B0">
        <w:rPr>
          <w:sz w:val="28"/>
          <w:szCs w:val="28"/>
        </w:rPr>
        <w:t>методами «минимизаци</w:t>
      </w:r>
      <w:r>
        <w:rPr>
          <w:sz w:val="28"/>
          <w:szCs w:val="28"/>
        </w:rPr>
        <w:t>и</w:t>
      </w:r>
      <w:r w:rsidRPr="00EA67B0">
        <w:rPr>
          <w:sz w:val="28"/>
          <w:szCs w:val="28"/>
        </w:rPr>
        <w:t xml:space="preserve"> затрат» и «затрат на единицу эффективности»</w:t>
      </w:r>
      <w:r>
        <w:rPr>
          <w:sz w:val="28"/>
          <w:szCs w:val="28"/>
        </w:rPr>
        <w:t xml:space="preserve">, показала, что наиболее эффективными и экономически выгодными для использования в клинической практике являются четвертый (системная фармакотерапия </w:t>
      </w:r>
      <w:r>
        <w:rPr>
          <w:sz w:val="28"/>
          <w:szCs w:val="28"/>
          <w:lang w:bidi="my-MM"/>
        </w:rPr>
        <w:t>ровамицином + лазеротерапия</w:t>
      </w:r>
      <w:r>
        <w:rPr>
          <w:sz w:val="28"/>
          <w:szCs w:val="28"/>
        </w:rPr>
        <w:t xml:space="preserve">) и второй (традиционная комплексная терапия </w:t>
      </w:r>
      <w:r>
        <w:rPr>
          <w:sz w:val="28"/>
          <w:szCs w:val="28"/>
          <w:lang w:bidi="my-MM"/>
        </w:rPr>
        <w:t>+ системная фармакотерапия ровамицином</w:t>
      </w:r>
      <w:r>
        <w:rPr>
          <w:sz w:val="28"/>
          <w:szCs w:val="28"/>
        </w:rPr>
        <w:t xml:space="preserve">) методы </w:t>
      </w:r>
      <w:r w:rsidRPr="00EA67B0">
        <w:rPr>
          <w:sz w:val="28"/>
          <w:szCs w:val="28"/>
        </w:rPr>
        <w:t>лечения</w:t>
      </w:r>
      <w:r>
        <w:rPr>
          <w:sz w:val="28"/>
          <w:szCs w:val="28"/>
        </w:rPr>
        <w:t xml:space="preserve"> хронического генерализованного пародонтита средней степени тяжести</w:t>
      </w:r>
      <w:r w:rsidRPr="00EA67B0">
        <w:rPr>
          <w:sz w:val="28"/>
          <w:szCs w:val="28"/>
        </w:rPr>
        <w:t>.</w:t>
      </w:r>
    </w:p>
    <w:p w:rsidR="00254EE8" w:rsidRDefault="00254EE8" w:rsidP="00AA269C">
      <w:pPr>
        <w:jc w:val="both"/>
        <w:rPr>
          <w:sz w:val="28"/>
          <w:szCs w:val="28"/>
        </w:rPr>
      </w:pPr>
    </w:p>
    <w:p w:rsidR="00254EE8" w:rsidRPr="00AA269C" w:rsidRDefault="00254EE8" w:rsidP="00AA269C">
      <w:pPr>
        <w:rPr>
          <w:b/>
          <w:caps/>
          <w:sz w:val="32"/>
          <w:szCs w:val="32"/>
        </w:rPr>
      </w:pPr>
      <w:r w:rsidRPr="00A97226">
        <w:rPr>
          <w:b/>
          <w:caps/>
          <w:sz w:val="28"/>
          <w:szCs w:val="28"/>
        </w:rPr>
        <w:t>Выводы</w:t>
      </w:r>
      <w:r w:rsidRPr="00ED3D20">
        <w:rPr>
          <w:b/>
          <w:caps/>
          <w:sz w:val="32"/>
          <w:szCs w:val="32"/>
        </w:rPr>
        <w:t xml:space="preserve"> </w:t>
      </w:r>
    </w:p>
    <w:p w:rsidR="00254EE8" w:rsidRPr="00860694" w:rsidRDefault="00254EE8" w:rsidP="004106FA">
      <w:pPr>
        <w:pStyle w:val="a4"/>
        <w:numPr>
          <w:ilvl w:val="0"/>
          <w:numId w:val="6"/>
        </w:numPr>
        <w:spacing w:after="0"/>
        <w:jc w:val="both"/>
        <w:rPr>
          <w:bCs/>
          <w:sz w:val="28"/>
          <w:szCs w:val="28"/>
        </w:rPr>
      </w:pPr>
      <w:r w:rsidRPr="00860694">
        <w:rPr>
          <w:sz w:val="28"/>
          <w:szCs w:val="28"/>
        </w:rPr>
        <w:t>На фоне роста общей стоматологической заболеваемости в г. Бишкек, выявлено:</w:t>
      </w:r>
      <w:r w:rsidRPr="00860694">
        <w:rPr>
          <w:bCs/>
          <w:color w:val="3366FF"/>
          <w:sz w:val="28"/>
          <w:szCs w:val="28"/>
        </w:rPr>
        <w:t xml:space="preserve"> </w:t>
      </w:r>
      <w:r w:rsidRPr="00860694">
        <w:rPr>
          <w:sz w:val="28"/>
          <w:szCs w:val="28"/>
        </w:rPr>
        <w:t>снижение до 10,5% обращаемости взрослого населения в государственные стоматологические поликлиники; в структуре кариозного поражения зубов  преобладание не осложненных форм кариеса (75,7%), снижение отношения не осложненных форм кариеса к осложненным формам с 3,8 до 2,7.</w:t>
      </w:r>
    </w:p>
    <w:p w:rsidR="00254EE8" w:rsidRPr="00860694" w:rsidRDefault="00254EE8" w:rsidP="004106FA">
      <w:pPr>
        <w:pStyle w:val="a4"/>
        <w:numPr>
          <w:ilvl w:val="0"/>
          <w:numId w:val="6"/>
        </w:numPr>
        <w:spacing w:after="0"/>
        <w:jc w:val="both"/>
        <w:rPr>
          <w:bCs/>
          <w:sz w:val="28"/>
          <w:szCs w:val="28"/>
        </w:rPr>
      </w:pPr>
      <w:r w:rsidRPr="00860694">
        <w:rPr>
          <w:sz w:val="28"/>
          <w:szCs w:val="28"/>
        </w:rPr>
        <w:t>По результатам опроса врачей – стоматологов г. Бишкек выявлено, что они имеют низкий уровень знаний по</w:t>
      </w:r>
      <w:r w:rsidRPr="00860694">
        <w:rPr>
          <w:bCs/>
          <w:sz w:val="28"/>
          <w:szCs w:val="28"/>
        </w:rPr>
        <w:t xml:space="preserve"> оценке гигиенического состояния полости рта и воспалительных изменений в десневых тканях (только 59,8% </w:t>
      </w:r>
      <w:r w:rsidRPr="00860694">
        <w:rPr>
          <w:sz w:val="28"/>
          <w:szCs w:val="28"/>
        </w:rPr>
        <w:t xml:space="preserve">используют </w:t>
      </w:r>
      <w:r w:rsidRPr="00860694">
        <w:rPr>
          <w:bCs/>
          <w:sz w:val="28"/>
          <w:szCs w:val="28"/>
        </w:rPr>
        <w:t xml:space="preserve">адекватные индексы), а также по основным принципам лечения пародонтита (нерациональное использование АБП). </w:t>
      </w:r>
    </w:p>
    <w:p w:rsidR="00254EE8" w:rsidRPr="00860694" w:rsidRDefault="00254EE8" w:rsidP="004106FA">
      <w:pPr>
        <w:pStyle w:val="a4"/>
        <w:numPr>
          <w:ilvl w:val="0"/>
          <w:numId w:val="6"/>
        </w:numPr>
        <w:spacing w:after="0"/>
        <w:jc w:val="both"/>
        <w:rPr>
          <w:bCs/>
          <w:sz w:val="28"/>
          <w:szCs w:val="28"/>
        </w:rPr>
      </w:pPr>
      <w:r w:rsidRPr="00860694">
        <w:rPr>
          <w:bCs/>
          <w:sz w:val="28"/>
          <w:szCs w:val="28"/>
        </w:rPr>
        <w:lastRenderedPageBreak/>
        <w:t>На основании анализа существующей практики антибактериальной терапии выявлено, что  наиболее эффективным методом комплексного лечения хронического генерализованного пародонтита средней степени тяжести является сочетание ровамицина с лазеротерапией при долгосрочном мониторинге по критериям клинической эффективности сравнительно со всеми другими изученными методами.</w:t>
      </w:r>
    </w:p>
    <w:p w:rsidR="00254EE8" w:rsidRPr="00860694" w:rsidRDefault="00254EE8" w:rsidP="004106FA">
      <w:pPr>
        <w:numPr>
          <w:ilvl w:val="0"/>
          <w:numId w:val="6"/>
        </w:numPr>
        <w:jc w:val="both"/>
        <w:rPr>
          <w:bCs/>
          <w:sz w:val="28"/>
          <w:szCs w:val="28"/>
        </w:rPr>
      </w:pPr>
      <w:r w:rsidRPr="00860694">
        <w:rPr>
          <w:bCs/>
          <w:sz w:val="28"/>
          <w:szCs w:val="28"/>
        </w:rPr>
        <w:t>Фармакоэкономический анализ показал наибольшую экономическую выгодность комплексного лечения хронического генерализованного пародонтита средней степени тяжести при использовании системного введения ровамицина на фоне лазеротерапии.</w:t>
      </w:r>
    </w:p>
    <w:p w:rsidR="00254EE8" w:rsidRPr="00860694" w:rsidRDefault="00254EE8" w:rsidP="004106FA">
      <w:pPr>
        <w:ind w:left="720"/>
        <w:contextualSpacing/>
        <w:jc w:val="center"/>
        <w:rPr>
          <w:b/>
          <w:sz w:val="28"/>
          <w:szCs w:val="28"/>
        </w:rPr>
      </w:pPr>
    </w:p>
    <w:p w:rsidR="00254EE8" w:rsidRDefault="00254EE8" w:rsidP="007F0E89">
      <w:pPr>
        <w:contextualSpacing/>
        <w:jc w:val="center"/>
        <w:rPr>
          <w:b/>
          <w:sz w:val="28"/>
          <w:szCs w:val="28"/>
        </w:rPr>
      </w:pPr>
      <w:r w:rsidRPr="00A97226">
        <w:rPr>
          <w:b/>
          <w:sz w:val="28"/>
          <w:szCs w:val="28"/>
        </w:rPr>
        <w:t>ПРАКТИЧЕСКИЕ РЕКОМЕНДАЦИИ</w:t>
      </w:r>
    </w:p>
    <w:p w:rsidR="00AA269C" w:rsidRDefault="00AA269C" w:rsidP="00AA269C">
      <w:pPr>
        <w:ind w:left="720"/>
        <w:contextualSpacing/>
        <w:rPr>
          <w:b/>
          <w:sz w:val="28"/>
          <w:szCs w:val="28"/>
        </w:rPr>
      </w:pPr>
    </w:p>
    <w:p w:rsidR="00254EE8" w:rsidRPr="00A97226" w:rsidRDefault="00254EE8" w:rsidP="004106FA">
      <w:pPr>
        <w:numPr>
          <w:ilvl w:val="0"/>
          <w:numId w:val="3"/>
        </w:numPr>
        <w:ind w:left="357" w:hanging="357"/>
        <w:jc w:val="both"/>
        <w:rPr>
          <w:sz w:val="28"/>
          <w:szCs w:val="28"/>
        </w:rPr>
      </w:pPr>
      <w:r w:rsidRPr="00A97226">
        <w:rPr>
          <w:sz w:val="28"/>
          <w:szCs w:val="28"/>
        </w:rPr>
        <w:t xml:space="preserve">Для повышения информированности врачей стоматологов об основных современных принципах комплексного лечения заболеваний пародонта необходимо проведение обучающих семинаров и тренингов для врачей во всех стоматологических поликлиниках. </w:t>
      </w:r>
    </w:p>
    <w:p w:rsidR="00254EE8" w:rsidRPr="00A97226" w:rsidRDefault="00254EE8" w:rsidP="004106FA">
      <w:pPr>
        <w:numPr>
          <w:ilvl w:val="0"/>
          <w:numId w:val="3"/>
        </w:numPr>
        <w:ind w:left="357" w:hanging="357"/>
        <w:jc w:val="both"/>
        <w:rPr>
          <w:sz w:val="28"/>
          <w:szCs w:val="28"/>
        </w:rPr>
      </w:pPr>
      <w:r w:rsidRPr="00A97226">
        <w:rPr>
          <w:sz w:val="28"/>
          <w:szCs w:val="28"/>
        </w:rPr>
        <w:t>Для достижения намеченной цели по оптимизации методов лечения различных нозологических форм хронических воспалительных заболеваний пародонта, необходимо регулярное проведение комплексных (фармакоэпидемиологический анализ с фармакоэкономической оценкой) исследований по отработанной нами методологии.</w:t>
      </w:r>
    </w:p>
    <w:p w:rsidR="00254EE8" w:rsidRPr="00A97226" w:rsidRDefault="00254EE8" w:rsidP="004106FA">
      <w:pPr>
        <w:numPr>
          <w:ilvl w:val="0"/>
          <w:numId w:val="3"/>
        </w:numPr>
        <w:ind w:left="357" w:hanging="357"/>
        <w:jc w:val="both"/>
        <w:rPr>
          <w:sz w:val="28"/>
          <w:szCs w:val="28"/>
        </w:rPr>
      </w:pPr>
      <w:r w:rsidRPr="00A97226">
        <w:rPr>
          <w:sz w:val="28"/>
          <w:szCs w:val="28"/>
        </w:rPr>
        <w:t>При комплексном лечении хронического пародонтита средней степени тяжести, после профессиональной гигиенической чистки, полировании коронковой части зубов и глубокого фторирования поверхности зубов, рекомендуется использовать:</w:t>
      </w:r>
    </w:p>
    <w:p w:rsidR="00254EE8" w:rsidRPr="00A97226" w:rsidRDefault="00254EE8" w:rsidP="004106FA">
      <w:pPr>
        <w:numPr>
          <w:ilvl w:val="0"/>
          <w:numId w:val="4"/>
        </w:numPr>
        <w:jc w:val="both"/>
        <w:rPr>
          <w:sz w:val="28"/>
          <w:szCs w:val="28"/>
        </w:rPr>
      </w:pPr>
      <w:r w:rsidRPr="00A97226">
        <w:rPr>
          <w:bCs/>
          <w:sz w:val="28"/>
          <w:szCs w:val="28"/>
        </w:rPr>
        <w:t xml:space="preserve">в качестве антимикробной терапии 0,2% раствор хлоргексидина биглюконата в сочетании с </w:t>
      </w:r>
      <w:r w:rsidRPr="00A97226">
        <w:rPr>
          <w:sz w:val="28"/>
          <w:szCs w:val="28"/>
        </w:rPr>
        <w:t xml:space="preserve">ровамицином. Ровамицин назначать по 3 млн. </w:t>
      </w:r>
      <w:r w:rsidRPr="00A97226">
        <w:rPr>
          <w:sz w:val="28"/>
          <w:szCs w:val="28"/>
          <w:lang w:val="en-US"/>
        </w:rPr>
        <w:t>ME</w:t>
      </w:r>
      <w:r w:rsidRPr="00A97226">
        <w:rPr>
          <w:sz w:val="28"/>
          <w:szCs w:val="28"/>
        </w:rPr>
        <w:t xml:space="preserve"> 3 раза в </w:t>
      </w:r>
      <w:r>
        <w:rPr>
          <w:sz w:val="28"/>
          <w:szCs w:val="28"/>
        </w:rPr>
        <w:t>сутки</w:t>
      </w:r>
      <w:r w:rsidRPr="00A97226">
        <w:rPr>
          <w:sz w:val="28"/>
          <w:szCs w:val="28"/>
        </w:rPr>
        <w:t xml:space="preserve"> в течение 10 дней;</w:t>
      </w:r>
    </w:p>
    <w:p w:rsidR="00254EE8" w:rsidRPr="00A97226" w:rsidRDefault="00254EE8" w:rsidP="004106FA">
      <w:pPr>
        <w:numPr>
          <w:ilvl w:val="0"/>
          <w:numId w:val="4"/>
        </w:numPr>
        <w:jc w:val="both"/>
        <w:rPr>
          <w:sz w:val="28"/>
          <w:szCs w:val="28"/>
        </w:rPr>
      </w:pPr>
      <w:r w:rsidRPr="00A97226">
        <w:rPr>
          <w:bCs/>
          <w:sz w:val="28"/>
          <w:szCs w:val="28"/>
        </w:rPr>
        <w:t xml:space="preserve">или сочетание лазеротерапии с </w:t>
      </w:r>
      <w:r w:rsidRPr="00A97226">
        <w:rPr>
          <w:sz w:val="28"/>
          <w:szCs w:val="28"/>
        </w:rPr>
        <w:t xml:space="preserve">ровамицином. Ровамицин назначать по 3 млн. </w:t>
      </w:r>
      <w:r w:rsidRPr="00A97226">
        <w:rPr>
          <w:sz w:val="28"/>
          <w:szCs w:val="28"/>
          <w:lang w:val="en-US"/>
        </w:rPr>
        <w:t>ME</w:t>
      </w:r>
      <w:r w:rsidRPr="00A97226">
        <w:rPr>
          <w:sz w:val="28"/>
          <w:szCs w:val="28"/>
        </w:rPr>
        <w:t xml:space="preserve"> 3 раза в </w:t>
      </w:r>
      <w:r>
        <w:rPr>
          <w:sz w:val="28"/>
          <w:szCs w:val="28"/>
        </w:rPr>
        <w:t>сутки</w:t>
      </w:r>
      <w:r w:rsidRPr="00A97226">
        <w:rPr>
          <w:sz w:val="28"/>
          <w:szCs w:val="28"/>
        </w:rPr>
        <w:t xml:space="preserve"> в течение 10 дней.</w:t>
      </w:r>
    </w:p>
    <w:p w:rsidR="00254EE8" w:rsidRPr="00A97226" w:rsidRDefault="00254EE8" w:rsidP="004106FA">
      <w:pPr>
        <w:numPr>
          <w:ilvl w:val="0"/>
          <w:numId w:val="3"/>
        </w:numPr>
        <w:jc w:val="both"/>
        <w:rPr>
          <w:sz w:val="28"/>
          <w:szCs w:val="28"/>
        </w:rPr>
      </w:pPr>
      <w:r w:rsidRPr="00A97226">
        <w:rPr>
          <w:sz w:val="28"/>
          <w:szCs w:val="28"/>
        </w:rPr>
        <w:t>Для повышения качества оказываемых пародонтологических услуг населению необходимо разработать практическое руководство по лечению хронических воспалительных заболеваний пародонта, учитывающее принципы доказательной медицины, и создание на его основе клинических протоколов.</w:t>
      </w:r>
    </w:p>
    <w:p w:rsidR="00AA269C" w:rsidRPr="007F0E89" w:rsidRDefault="00AA269C" w:rsidP="004106FA">
      <w:pPr>
        <w:jc w:val="center"/>
        <w:rPr>
          <w:b/>
          <w:sz w:val="20"/>
          <w:szCs w:val="20"/>
        </w:rPr>
      </w:pPr>
    </w:p>
    <w:p w:rsidR="00254EE8" w:rsidRDefault="00254EE8" w:rsidP="00AA269C">
      <w:pPr>
        <w:jc w:val="center"/>
        <w:rPr>
          <w:b/>
          <w:sz w:val="28"/>
          <w:szCs w:val="28"/>
        </w:rPr>
      </w:pPr>
      <w:r>
        <w:rPr>
          <w:b/>
          <w:sz w:val="28"/>
          <w:szCs w:val="28"/>
        </w:rPr>
        <w:t>С</w:t>
      </w:r>
      <w:r w:rsidRPr="007C0B25">
        <w:rPr>
          <w:b/>
          <w:sz w:val="28"/>
          <w:szCs w:val="28"/>
        </w:rPr>
        <w:t>писок опубликованных работ по теме диссертации</w:t>
      </w:r>
    </w:p>
    <w:p w:rsidR="00AA269C" w:rsidRPr="007F0E89" w:rsidRDefault="00AA269C" w:rsidP="00AA269C">
      <w:pPr>
        <w:jc w:val="center"/>
        <w:rPr>
          <w:b/>
          <w:sz w:val="20"/>
          <w:szCs w:val="20"/>
        </w:rPr>
      </w:pP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Антибактериальная терапия при воспалительных заболеваниях пародонта [Текст] / А.Д. Иманалиева, К.Б. Куттубаева, Т.С. Сабирова, А.А. Субанова // Научно-практический журнал медицинские кадры </w:t>
      </w:r>
      <w:r w:rsidRPr="007E735C">
        <w:rPr>
          <w:sz w:val="28"/>
          <w:szCs w:val="28"/>
          <w:lang w:val="en-US"/>
        </w:rPr>
        <w:t>XXI</w:t>
      </w:r>
      <w:r w:rsidRPr="007E735C">
        <w:rPr>
          <w:sz w:val="28"/>
          <w:szCs w:val="28"/>
        </w:rPr>
        <w:t xml:space="preserve"> века. - Бишкек, 2006. - №2. - </w:t>
      </w:r>
      <w:r w:rsidRPr="007E735C">
        <w:rPr>
          <w:sz w:val="28"/>
          <w:szCs w:val="28"/>
          <w:lang w:val="ky-KG"/>
        </w:rPr>
        <w:t>С. 36 – 42.</w:t>
      </w:r>
    </w:p>
    <w:p w:rsidR="00254EE8" w:rsidRPr="007E735C" w:rsidRDefault="00254EE8" w:rsidP="004106FA">
      <w:pPr>
        <w:numPr>
          <w:ilvl w:val="0"/>
          <w:numId w:val="7"/>
        </w:numPr>
        <w:contextualSpacing/>
        <w:jc w:val="both"/>
        <w:rPr>
          <w:sz w:val="28"/>
          <w:szCs w:val="28"/>
        </w:rPr>
      </w:pPr>
      <w:r w:rsidRPr="007E735C">
        <w:rPr>
          <w:b/>
          <w:sz w:val="28"/>
          <w:szCs w:val="28"/>
        </w:rPr>
        <w:lastRenderedPageBreak/>
        <w:t>Иманалиева, А.Д.</w:t>
      </w:r>
      <w:r w:rsidRPr="007E735C">
        <w:rPr>
          <w:sz w:val="28"/>
          <w:szCs w:val="28"/>
        </w:rPr>
        <w:t xml:space="preserve"> Распространенность стоматологических заболеваний у населения, проживающего в йоддефицитных регионах [Текст] / А.Д. Иманалиева. К.Б. Куттубаева // Научно-практический журнал медицинские кадры </w:t>
      </w:r>
      <w:r w:rsidRPr="007E735C">
        <w:rPr>
          <w:sz w:val="28"/>
          <w:szCs w:val="28"/>
          <w:lang w:val="en-US"/>
        </w:rPr>
        <w:t>XXI</w:t>
      </w:r>
      <w:r w:rsidRPr="007E735C">
        <w:rPr>
          <w:sz w:val="28"/>
          <w:szCs w:val="28"/>
        </w:rPr>
        <w:t xml:space="preserve"> века. - Бишкек, 2006. - №2. - </w:t>
      </w:r>
      <w:r w:rsidRPr="007E735C">
        <w:rPr>
          <w:sz w:val="28"/>
          <w:szCs w:val="28"/>
          <w:lang w:val="ky-KG"/>
        </w:rPr>
        <w:t>С. 42 – 47.</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Эпидемиологическая оценка стоматологической заболеваемости населения г. Бишкек [Текст] / А.Д. Иманалиева. К.Б. Куттубаева, О.Э. Турсуналиев // Проблемы стоматологии. - Алматы, 2009. - №1-2. - С. 30 – 32. </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Эффективность антибиотиков, применяемых в комплексной терапии хронического генерализованного пародонтита [Текст] / А.Д. Иманалиева, А.А. Абдумомунова // Научно-практический журнал медицинские кадры </w:t>
      </w:r>
      <w:r w:rsidRPr="007E735C">
        <w:rPr>
          <w:sz w:val="28"/>
          <w:szCs w:val="28"/>
          <w:lang w:val="en-US"/>
        </w:rPr>
        <w:t>XXI</w:t>
      </w:r>
      <w:r w:rsidRPr="007E735C">
        <w:rPr>
          <w:sz w:val="28"/>
          <w:szCs w:val="28"/>
        </w:rPr>
        <w:t xml:space="preserve"> века. – Бишкек, 2007. - №2. - </w:t>
      </w:r>
      <w:r w:rsidRPr="007E735C">
        <w:rPr>
          <w:sz w:val="28"/>
          <w:szCs w:val="28"/>
          <w:lang w:val="ky-KG"/>
        </w:rPr>
        <w:t>С</w:t>
      </w:r>
      <w:r w:rsidRPr="007E735C">
        <w:rPr>
          <w:sz w:val="28"/>
          <w:szCs w:val="28"/>
        </w:rPr>
        <w:t>. 205-207.</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Фармаэпидемиологические исследования – основа рационального использования лекарственных средств [Текст] / А.Д. Иманалиева, К.Б. Куттубаева // Здравоохранение Кыргызстана. – Бишкек, 2008. - №1. - С.166-168.</w:t>
      </w:r>
    </w:p>
    <w:p w:rsidR="00254EE8" w:rsidRPr="007E735C" w:rsidRDefault="00254EE8" w:rsidP="004106FA">
      <w:pPr>
        <w:numPr>
          <w:ilvl w:val="0"/>
          <w:numId w:val="7"/>
        </w:numPr>
        <w:contextualSpacing/>
        <w:jc w:val="both"/>
        <w:rPr>
          <w:sz w:val="28"/>
          <w:szCs w:val="28"/>
          <w:lang w:val="ky-KG"/>
        </w:rPr>
      </w:pPr>
      <w:r w:rsidRPr="007E735C">
        <w:rPr>
          <w:b/>
          <w:sz w:val="28"/>
          <w:szCs w:val="28"/>
        </w:rPr>
        <w:t>Иманалиева, А.Д.</w:t>
      </w:r>
      <w:r w:rsidRPr="007E735C">
        <w:rPr>
          <w:sz w:val="28"/>
          <w:szCs w:val="28"/>
        </w:rPr>
        <w:t xml:space="preserve"> Эпидемиологическое исследование стоматологической заболеваемости и распространенности пародонтитов среди взрослого населения г. Бишкек [Текст] / А.Д. Иманалиева // Здравоохранение Кыргызстана. - Бишкек, 2009. - №3. - </w:t>
      </w:r>
      <w:r w:rsidRPr="007E735C">
        <w:rPr>
          <w:sz w:val="28"/>
          <w:szCs w:val="28"/>
          <w:lang w:val="ky-KG"/>
        </w:rPr>
        <w:t>С. 55-58.</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Изучение уровня информированности врачей</w:t>
      </w:r>
      <w:r>
        <w:rPr>
          <w:sz w:val="28"/>
          <w:szCs w:val="28"/>
        </w:rPr>
        <w:t xml:space="preserve"> -</w:t>
      </w:r>
      <w:r w:rsidRPr="007E735C">
        <w:rPr>
          <w:sz w:val="28"/>
          <w:szCs w:val="28"/>
        </w:rPr>
        <w:t xml:space="preserve"> стоматологов о современных принципах диагностики и лечения воспалительных заболеваний пародонта [Текст] / А.Д. Иманалиева // Наука и новые технологии. – Бишкек, 2009. - №9. – С.38-40.</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Изучение практики использования врачами-стоматологами г.</w:t>
      </w:r>
      <w:r>
        <w:rPr>
          <w:sz w:val="28"/>
          <w:szCs w:val="28"/>
        </w:rPr>
        <w:t xml:space="preserve"> </w:t>
      </w:r>
      <w:r w:rsidRPr="007E735C">
        <w:rPr>
          <w:sz w:val="28"/>
          <w:szCs w:val="28"/>
        </w:rPr>
        <w:t>Бишкек диагностических и лечебных методов при лечении воспалительных заболеваний тканей пародонта [Текст] / А.Д. Иманалиева, А.З. Зурдинов, К.Б. Куттубаева // Здравоохранение Кыргызстана. - Бишкек, 2011. - № 4. – С. 33-37.</w:t>
      </w:r>
    </w:p>
    <w:p w:rsidR="00254EE8" w:rsidRPr="007E735C" w:rsidRDefault="00254EE8" w:rsidP="004106FA">
      <w:pPr>
        <w:numPr>
          <w:ilvl w:val="0"/>
          <w:numId w:val="7"/>
        </w:numPr>
        <w:contextualSpacing/>
        <w:jc w:val="both"/>
        <w:rPr>
          <w:sz w:val="28"/>
          <w:szCs w:val="28"/>
        </w:rPr>
      </w:pPr>
      <w:r w:rsidRPr="007E735C">
        <w:rPr>
          <w:b/>
          <w:sz w:val="28"/>
          <w:szCs w:val="28"/>
        </w:rPr>
        <w:t>Иманалиева, А.Д.</w:t>
      </w:r>
      <w:r w:rsidRPr="007E735C">
        <w:rPr>
          <w:sz w:val="28"/>
          <w:szCs w:val="28"/>
        </w:rPr>
        <w:t xml:space="preserve"> Фармаэкономическая оценка различных схем лечения хронического генерализованного пародонтита средней степени тяжести [Текст] / А.Д. Иманалиева / Вестник КГМА. им. И.К. Ахунбаева. – Бишкек, 2012. - № 4. – С. 72-76.</w:t>
      </w:r>
    </w:p>
    <w:p w:rsidR="00254EE8" w:rsidRPr="007E735C" w:rsidRDefault="00254EE8" w:rsidP="004106FA">
      <w:pPr>
        <w:numPr>
          <w:ilvl w:val="0"/>
          <w:numId w:val="7"/>
        </w:numPr>
        <w:contextualSpacing/>
        <w:jc w:val="both"/>
        <w:rPr>
          <w:b/>
          <w:bCs/>
          <w:sz w:val="28"/>
          <w:szCs w:val="28"/>
        </w:rPr>
      </w:pPr>
      <w:r w:rsidRPr="007E735C">
        <w:rPr>
          <w:b/>
          <w:sz w:val="28"/>
          <w:szCs w:val="28"/>
        </w:rPr>
        <w:t>Иманалиева, А.Д.</w:t>
      </w:r>
      <w:r w:rsidRPr="007E735C">
        <w:rPr>
          <w:sz w:val="28"/>
          <w:szCs w:val="28"/>
        </w:rPr>
        <w:t xml:space="preserve"> Применение антибиотика Ровамицин в комплексной терапии заболеваний тканей пародонта [Текст] / А.Д. Иманалиева, А.З. Зурдинов, К.Б. Куттубаева, П.Д. Абасканова // Вестник КГМА им. И.К. Ахунбаева – Бишкек, 2013. - № 2. – С. 14-17.</w:t>
      </w:r>
    </w:p>
    <w:p w:rsidR="00254EE8" w:rsidRDefault="00254EE8" w:rsidP="004106FA">
      <w:pPr>
        <w:pStyle w:val="a6"/>
        <w:numPr>
          <w:ilvl w:val="0"/>
          <w:numId w:val="7"/>
        </w:numPr>
        <w:spacing w:before="0"/>
        <w:jc w:val="both"/>
        <w:rPr>
          <w:rFonts w:ascii="Times New Roman" w:hAnsi="Times New Roman" w:cs="Times New Roman"/>
          <w:sz w:val="28"/>
          <w:szCs w:val="28"/>
        </w:rPr>
      </w:pPr>
      <w:r w:rsidRPr="007E735C">
        <w:rPr>
          <w:rFonts w:ascii="Times New Roman" w:hAnsi="Times New Roman" w:cs="Times New Roman"/>
          <w:b/>
          <w:sz w:val="28"/>
          <w:szCs w:val="28"/>
        </w:rPr>
        <w:t>Иманалиева, А.Д.</w:t>
      </w:r>
      <w:r w:rsidRPr="007E735C">
        <w:rPr>
          <w:rFonts w:ascii="Times New Roman" w:hAnsi="Times New Roman" w:cs="Times New Roman"/>
          <w:sz w:val="28"/>
          <w:szCs w:val="28"/>
        </w:rPr>
        <w:t xml:space="preserve"> Оценка эффективности антимикробной терапии Ровамицином в комплексном лечении хронического генерализованного пародонтита средней степени тяжести [Текст] / А.Д. Иманалиева, К.Б. Куттубаева, Ф.С. Мустафина // Здравоохранение Кыргызстана. – Бишкек, 2014. - №1. – С. 18-20. </w:t>
      </w:r>
    </w:p>
    <w:p w:rsidR="00254EE8" w:rsidRDefault="00254EE8" w:rsidP="004106FA">
      <w:pPr>
        <w:pStyle w:val="a6"/>
        <w:spacing w:before="0"/>
        <w:jc w:val="both"/>
        <w:rPr>
          <w:rFonts w:ascii="Times New Roman" w:hAnsi="Times New Roman" w:cs="Times New Roman"/>
          <w:b/>
          <w:bCs/>
          <w:sz w:val="28"/>
          <w:szCs w:val="28"/>
        </w:rPr>
      </w:pPr>
    </w:p>
    <w:p w:rsidR="00254EE8" w:rsidRDefault="00254EE8" w:rsidP="00AA269C">
      <w:pPr>
        <w:jc w:val="center"/>
        <w:rPr>
          <w:b/>
          <w:caps/>
          <w:sz w:val="28"/>
          <w:szCs w:val="28"/>
        </w:rPr>
      </w:pPr>
      <w:r>
        <w:rPr>
          <w:b/>
          <w:caps/>
          <w:sz w:val="28"/>
          <w:szCs w:val="28"/>
        </w:rPr>
        <w:lastRenderedPageBreak/>
        <w:t>Резюме</w:t>
      </w:r>
    </w:p>
    <w:p w:rsidR="00254EE8" w:rsidRDefault="00254EE8" w:rsidP="004106FA">
      <w:pPr>
        <w:jc w:val="both"/>
        <w:rPr>
          <w:b/>
          <w:sz w:val="28"/>
          <w:szCs w:val="28"/>
        </w:rPr>
      </w:pPr>
      <w:r w:rsidRPr="00271ACD">
        <w:rPr>
          <w:b/>
          <w:sz w:val="28"/>
          <w:szCs w:val="28"/>
        </w:rPr>
        <w:t xml:space="preserve">диссертации </w:t>
      </w:r>
      <w:r>
        <w:rPr>
          <w:b/>
          <w:sz w:val="28"/>
          <w:szCs w:val="28"/>
        </w:rPr>
        <w:t>Иманалиевой Ализы Дж</w:t>
      </w:r>
      <w:r>
        <w:rPr>
          <w:b/>
          <w:sz w:val="28"/>
          <w:szCs w:val="28"/>
          <w:lang w:val="ky-KG"/>
        </w:rPr>
        <w:t>е</w:t>
      </w:r>
      <w:r>
        <w:rPr>
          <w:b/>
          <w:sz w:val="28"/>
          <w:szCs w:val="28"/>
        </w:rPr>
        <w:t>кшенов</w:t>
      </w:r>
      <w:r>
        <w:rPr>
          <w:b/>
          <w:sz w:val="28"/>
          <w:szCs w:val="28"/>
          <w:lang w:val="ky-KG"/>
        </w:rPr>
        <w:t>н</w:t>
      </w:r>
      <w:r>
        <w:rPr>
          <w:b/>
          <w:sz w:val="28"/>
          <w:szCs w:val="28"/>
        </w:rPr>
        <w:t>ы</w:t>
      </w:r>
      <w:r w:rsidRPr="00271ACD">
        <w:rPr>
          <w:b/>
          <w:sz w:val="28"/>
          <w:szCs w:val="28"/>
        </w:rPr>
        <w:t xml:space="preserve"> на тему «</w:t>
      </w:r>
      <w:r>
        <w:rPr>
          <w:b/>
          <w:sz w:val="28"/>
          <w:szCs w:val="28"/>
        </w:rPr>
        <w:t>Ф</w:t>
      </w:r>
      <w:r w:rsidRPr="00294782">
        <w:rPr>
          <w:b/>
          <w:sz w:val="28"/>
          <w:szCs w:val="28"/>
        </w:rPr>
        <w:t>армакоэпидемиологическая</w:t>
      </w:r>
      <w:r>
        <w:rPr>
          <w:b/>
          <w:sz w:val="28"/>
          <w:szCs w:val="28"/>
        </w:rPr>
        <w:t>,</w:t>
      </w:r>
      <w:r w:rsidRPr="00294782">
        <w:rPr>
          <w:b/>
          <w:sz w:val="28"/>
          <w:szCs w:val="28"/>
        </w:rPr>
        <w:t xml:space="preserve"> фармакоэкономическая оценка и пути рационализации лечения хронического пародонтита</w:t>
      </w:r>
      <w:r w:rsidRPr="00271ACD">
        <w:rPr>
          <w:b/>
          <w:sz w:val="28"/>
          <w:szCs w:val="28"/>
        </w:rPr>
        <w:t>»</w:t>
      </w:r>
      <w:r>
        <w:rPr>
          <w:b/>
          <w:sz w:val="28"/>
          <w:szCs w:val="28"/>
        </w:rPr>
        <w:t xml:space="preserve"> на соискание ученой степени кандидата медицинских наук по специальностям </w:t>
      </w:r>
      <w:r w:rsidRPr="008D6ACD">
        <w:rPr>
          <w:b/>
          <w:sz w:val="28"/>
          <w:szCs w:val="28"/>
        </w:rPr>
        <w:t>14.03.06</w:t>
      </w:r>
      <w:r>
        <w:rPr>
          <w:b/>
          <w:sz w:val="28"/>
          <w:szCs w:val="28"/>
        </w:rPr>
        <w:t xml:space="preserve"> – фармакология, </w:t>
      </w:r>
      <w:r w:rsidRPr="00563FC8">
        <w:rPr>
          <w:b/>
          <w:sz w:val="28"/>
          <w:szCs w:val="28"/>
        </w:rPr>
        <w:t>клиническая фармакология</w:t>
      </w:r>
      <w:r>
        <w:rPr>
          <w:b/>
          <w:sz w:val="28"/>
          <w:szCs w:val="28"/>
        </w:rPr>
        <w:t xml:space="preserve"> и 14</w:t>
      </w:r>
      <w:r w:rsidRPr="008D6ACD">
        <w:rPr>
          <w:b/>
          <w:sz w:val="28"/>
          <w:szCs w:val="28"/>
        </w:rPr>
        <w:t>.01.14</w:t>
      </w:r>
      <w:r w:rsidR="004777BC">
        <w:rPr>
          <w:b/>
          <w:sz w:val="28"/>
          <w:szCs w:val="28"/>
        </w:rPr>
        <w:t xml:space="preserve"> – стоматология</w:t>
      </w:r>
    </w:p>
    <w:p w:rsidR="00254EE8" w:rsidRPr="00CE7113" w:rsidRDefault="00254EE8" w:rsidP="004106FA">
      <w:pPr>
        <w:jc w:val="both"/>
        <w:rPr>
          <w:b/>
          <w:sz w:val="16"/>
          <w:szCs w:val="16"/>
        </w:rPr>
      </w:pPr>
      <w:r>
        <w:rPr>
          <w:b/>
          <w:sz w:val="28"/>
          <w:szCs w:val="28"/>
        </w:rPr>
        <w:tab/>
      </w:r>
    </w:p>
    <w:p w:rsidR="00254EE8" w:rsidRDefault="00254EE8" w:rsidP="004106FA">
      <w:pPr>
        <w:ind w:firstLine="708"/>
        <w:jc w:val="both"/>
        <w:rPr>
          <w:sz w:val="28"/>
          <w:szCs w:val="28"/>
        </w:rPr>
      </w:pPr>
      <w:r>
        <w:rPr>
          <w:b/>
          <w:sz w:val="28"/>
          <w:szCs w:val="28"/>
        </w:rPr>
        <w:t xml:space="preserve">Ключевые слова: </w:t>
      </w:r>
      <w:r>
        <w:rPr>
          <w:sz w:val="28"/>
          <w:szCs w:val="28"/>
        </w:rPr>
        <w:t>хронический генерализованный пародонтит, антимикробная терапия, фармакоэкономика.</w:t>
      </w:r>
    </w:p>
    <w:p w:rsidR="00254EE8" w:rsidRPr="00294782" w:rsidRDefault="00254EE8" w:rsidP="004106FA">
      <w:pPr>
        <w:ind w:firstLine="708"/>
        <w:jc w:val="both"/>
        <w:rPr>
          <w:bCs/>
          <w:color w:val="000000"/>
          <w:sz w:val="28"/>
          <w:szCs w:val="28"/>
        </w:rPr>
      </w:pPr>
      <w:r>
        <w:rPr>
          <w:b/>
          <w:sz w:val="28"/>
          <w:szCs w:val="28"/>
        </w:rPr>
        <w:t>О</w:t>
      </w:r>
      <w:r w:rsidRPr="0011238B">
        <w:rPr>
          <w:b/>
          <w:sz w:val="28"/>
          <w:szCs w:val="28"/>
        </w:rPr>
        <w:t>бъект</w:t>
      </w:r>
      <w:r>
        <w:rPr>
          <w:b/>
          <w:sz w:val="28"/>
          <w:szCs w:val="28"/>
        </w:rPr>
        <w:t>ы</w:t>
      </w:r>
      <w:r w:rsidRPr="0011238B">
        <w:rPr>
          <w:b/>
          <w:sz w:val="28"/>
          <w:szCs w:val="28"/>
        </w:rPr>
        <w:t xml:space="preserve"> исследования</w:t>
      </w:r>
      <w:r>
        <w:rPr>
          <w:b/>
          <w:sz w:val="28"/>
          <w:szCs w:val="28"/>
        </w:rPr>
        <w:t>:</w:t>
      </w:r>
      <w:r>
        <w:rPr>
          <w:bCs/>
          <w:sz w:val="28"/>
          <w:szCs w:val="28"/>
        </w:rPr>
        <w:t xml:space="preserve"> </w:t>
      </w:r>
      <w:r w:rsidRPr="00AA494C">
        <w:rPr>
          <w:sz w:val="28"/>
          <w:szCs w:val="28"/>
        </w:rPr>
        <w:t>отчетные</w:t>
      </w:r>
      <w:r>
        <w:rPr>
          <w:sz w:val="28"/>
          <w:szCs w:val="28"/>
        </w:rPr>
        <w:t xml:space="preserve"> статистические формы № 12 «Отчет ЦСМ», </w:t>
      </w:r>
      <w:r w:rsidRPr="00A552CD">
        <w:rPr>
          <w:sz w:val="28"/>
          <w:szCs w:val="28"/>
        </w:rPr>
        <w:t>врачи-стоматологи</w:t>
      </w:r>
      <w:r>
        <w:rPr>
          <w:sz w:val="28"/>
          <w:szCs w:val="28"/>
        </w:rPr>
        <w:t>, пациенты, данные о стоимости стоматологических услуг и стоимости лекарственных средств.</w:t>
      </w:r>
    </w:p>
    <w:p w:rsidR="00254EE8" w:rsidRDefault="00254EE8" w:rsidP="004106FA">
      <w:pPr>
        <w:ind w:firstLine="708"/>
        <w:jc w:val="both"/>
        <w:rPr>
          <w:sz w:val="28"/>
          <w:szCs w:val="28"/>
        </w:rPr>
      </w:pPr>
      <w:r w:rsidRPr="0011238B">
        <w:rPr>
          <w:b/>
          <w:color w:val="000000"/>
          <w:sz w:val="28"/>
          <w:szCs w:val="28"/>
        </w:rPr>
        <w:t>Цель исследования</w:t>
      </w:r>
      <w:r>
        <w:rPr>
          <w:b/>
          <w:color w:val="000000"/>
          <w:sz w:val="28"/>
          <w:szCs w:val="28"/>
        </w:rPr>
        <w:t>.</w:t>
      </w:r>
      <w:r>
        <w:rPr>
          <w:color w:val="000000"/>
          <w:sz w:val="28"/>
          <w:szCs w:val="28"/>
        </w:rPr>
        <w:t xml:space="preserve"> </w:t>
      </w:r>
      <w:r w:rsidRPr="00B548CF">
        <w:rPr>
          <w:sz w:val="28"/>
          <w:szCs w:val="28"/>
        </w:rPr>
        <w:t>Разрабо</w:t>
      </w:r>
      <w:r>
        <w:rPr>
          <w:sz w:val="28"/>
          <w:szCs w:val="28"/>
        </w:rPr>
        <w:t>тка</w:t>
      </w:r>
      <w:r w:rsidRPr="00B548CF">
        <w:rPr>
          <w:sz w:val="28"/>
          <w:szCs w:val="28"/>
        </w:rPr>
        <w:t xml:space="preserve"> пут</w:t>
      </w:r>
      <w:r>
        <w:rPr>
          <w:sz w:val="28"/>
          <w:szCs w:val="28"/>
        </w:rPr>
        <w:t>ей</w:t>
      </w:r>
      <w:r w:rsidRPr="00B548CF">
        <w:rPr>
          <w:sz w:val="28"/>
          <w:szCs w:val="28"/>
        </w:rPr>
        <w:t xml:space="preserve"> оптимизации лечения хронического пародонтита средней степени тяжести на основе фармакоэпидемиологического анализа и фармакоэкономической оценки применения лекарственных средств и лечебных медицинских манипуляций</w:t>
      </w:r>
      <w:r>
        <w:rPr>
          <w:sz w:val="28"/>
          <w:szCs w:val="28"/>
        </w:rPr>
        <w:t>.</w:t>
      </w:r>
    </w:p>
    <w:p w:rsidR="00254EE8" w:rsidRDefault="00254EE8" w:rsidP="004106FA">
      <w:pPr>
        <w:ind w:firstLine="709"/>
        <w:jc w:val="both"/>
        <w:rPr>
          <w:color w:val="000000"/>
          <w:sz w:val="28"/>
          <w:szCs w:val="28"/>
        </w:rPr>
      </w:pPr>
      <w:r w:rsidRPr="00533730">
        <w:rPr>
          <w:b/>
          <w:color w:val="000000"/>
          <w:sz w:val="28"/>
          <w:szCs w:val="28"/>
        </w:rPr>
        <w:t xml:space="preserve">Методы исследования: </w:t>
      </w:r>
      <w:r w:rsidRPr="00294782">
        <w:rPr>
          <w:bCs/>
          <w:color w:val="000000"/>
          <w:sz w:val="28"/>
          <w:szCs w:val="28"/>
        </w:rPr>
        <w:t>эпидемиологические</w:t>
      </w:r>
      <w:r>
        <w:rPr>
          <w:b/>
          <w:color w:val="000000"/>
          <w:sz w:val="28"/>
          <w:szCs w:val="28"/>
        </w:rPr>
        <w:t>,</w:t>
      </w:r>
      <w:r w:rsidRPr="00294782">
        <w:rPr>
          <w:bCs/>
          <w:color w:val="000000"/>
          <w:sz w:val="28"/>
          <w:szCs w:val="28"/>
        </w:rPr>
        <w:t xml:space="preserve"> </w:t>
      </w:r>
      <w:r>
        <w:rPr>
          <w:color w:val="000000"/>
          <w:spacing w:val="-2"/>
          <w:sz w:val="28"/>
          <w:szCs w:val="28"/>
        </w:rPr>
        <w:t>социологические,</w:t>
      </w:r>
      <w:r>
        <w:rPr>
          <w:color w:val="000000"/>
          <w:sz w:val="28"/>
          <w:szCs w:val="28"/>
        </w:rPr>
        <w:t xml:space="preserve"> клинические, лабораторные и статистические.</w:t>
      </w:r>
    </w:p>
    <w:p w:rsidR="00254EE8" w:rsidRPr="00294C19" w:rsidRDefault="00254EE8" w:rsidP="004106FA">
      <w:pPr>
        <w:pStyle w:val="a4"/>
        <w:spacing w:after="0"/>
        <w:ind w:firstLine="708"/>
        <w:jc w:val="both"/>
        <w:rPr>
          <w:bCs/>
          <w:sz w:val="28"/>
          <w:szCs w:val="28"/>
        </w:rPr>
      </w:pPr>
      <w:r>
        <w:rPr>
          <w:b/>
          <w:color w:val="000000"/>
          <w:sz w:val="28"/>
          <w:szCs w:val="28"/>
        </w:rPr>
        <w:t xml:space="preserve">Результаты исследования. </w:t>
      </w:r>
      <w:r w:rsidRPr="00A97226">
        <w:rPr>
          <w:bCs/>
          <w:sz w:val="28"/>
          <w:szCs w:val="28"/>
        </w:rPr>
        <w:t xml:space="preserve">На фоне роста общей стоматологической заболеваемости в г. Бишкек, </w:t>
      </w:r>
      <w:r>
        <w:rPr>
          <w:bCs/>
          <w:sz w:val="28"/>
          <w:szCs w:val="28"/>
        </w:rPr>
        <w:t xml:space="preserve">выявлено </w:t>
      </w:r>
      <w:r w:rsidRPr="00A97226">
        <w:rPr>
          <w:bCs/>
          <w:sz w:val="28"/>
          <w:szCs w:val="28"/>
        </w:rPr>
        <w:t xml:space="preserve">увеличение частоты хронических заболеваний органов ротовой полости среди взрослого населения с 23,6% </w:t>
      </w:r>
      <w:r>
        <w:rPr>
          <w:bCs/>
          <w:sz w:val="28"/>
          <w:szCs w:val="28"/>
        </w:rPr>
        <w:t xml:space="preserve">до 27,1% и </w:t>
      </w:r>
      <w:r w:rsidRPr="00A97226">
        <w:rPr>
          <w:bCs/>
          <w:sz w:val="28"/>
          <w:szCs w:val="28"/>
        </w:rPr>
        <w:t>снижение уровня распространенности заболеваний пародонта (2,4</w:t>
      </w:r>
      <w:r>
        <w:rPr>
          <w:bCs/>
          <w:sz w:val="28"/>
          <w:szCs w:val="28"/>
        </w:rPr>
        <w:t>%)</w:t>
      </w:r>
      <w:r w:rsidRPr="00A97226">
        <w:rPr>
          <w:bCs/>
          <w:sz w:val="28"/>
          <w:szCs w:val="28"/>
        </w:rPr>
        <w:t>.</w:t>
      </w:r>
    </w:p>
    <w:p w:rsidR="00254EE8" w:rsidRPr="00A97226" w:rsidRDefault="00254EE8" w:rsidP="004106FA">
      <w:pPr>
        <w:ind w:firstLine="708"/>
        <w:jc w:val="both"/>
        <w:rPr>
          <w:bCs/>
          <w:sz w:val="28"/>
          <w:szCs w:val="28"/>
        </w:rPr>
      </w:pPr>
      <w:r>
        <w:rPr>
          <w:bCs/>
          <w:sz w:val="28"/>
          <w:szCs w:val="28"/>
        </w:rPr>
        <w:t>Фармакотерапия</w:t>
      </w:r>
      <w:r w:rsidRPr="00A97226">
        <w:rPr>
          <w:bCs/>
          <w:sz w:val="28"/>
          <w:szCs w:val="28"/>
        </w:rPr>
        <w:t xml:space="preserve"> хронических воспалительных заболеваний пародонта в стоматологических клиниках г. Бишкек проводится не</w:t>
      </w:r>
      <w:r>
        <w:rPr>
          <w:bCs/>
          <w:sz w:val="28"/>
          <w:szCs w:val="28"/>
        </w:rPr>
        <w:t>рационально: д</w:t>
      </w:r>
      <w:r w:rsidRPr="00A97226">
        <w:rPr>
          <w:bCs/>
          <w:sz w:val="28"/>
          <w:szCs w:val="28"/>
        </w:rPr>
        <w:t xml:space="preserve">ля антимикробной терапии </w:t>
      </w:r>
      <w:r>
        <w:rPr>
          <w:bCs/>
          <w:sz w:val="28"/>
          <w:szCs w:val="28"/>
        </w:rPr>
        <w:t>в</w:t>
      </w:r>
      <w:r w:rsidRPr="00A97226">
        <w:rPr>
          <w:bCs/>
          <w:sz w:val="28"/>
          <w:szCs w:val="28"/>
        </w:rPr>
        <w:t xml:space="preserve"> 55,2% случаев использу</w:t>
      </w:r>
      <w:r>
        <w:rPr>
          <w:bCs/>
          <w:sz w:val="28"/>
          <w:szCs w:val="28"/>
        </w:rPr>
        <w:t>ется</w:t>
      </w:r>
      <w:r w:rsidRPr="00A97226">
        <w:rPr>
          <w:bCs/>
          <w:sz w:val="28"/>
          <w:szCs w:val="28"/>
        </w:rPr>
        <w:t xml:space="preserve"> амоксициллин и амоксициллин/клавуланат, а в 47,1% линкомицин, к</w:t>
      </w:r>
      <w:r>
        <w:rPr>
          <w:bCs/>
          <w:sz w:val="28"/>
          <w:szCs w:val="28"/>
        </w:rPr>
        <w:t xml:space="preserve">оторый в 56,1% случаев назначается местно. При этом в 100% случаев врачи не имеют </w:t>
      </w:r>
      <w:r w:rsidRPr="00A97226">
        <w:rPr>
          <w:bCs/>
          <w:sz w:val="28"/>
          <w:szCs w:val="28"/>
        </w:rPr>
        <w:t>четкого представления об основных современных принципах лечения хронических заболеваний тканей пародонта.</w:t>
      </w:r>
    </w:p>
    <w:p w:rsidR="00254EE8" w:rsidRPr="00A97226" w:rsidRDefault="00254EE8" w:rsidP="004106FA">
      <w:pPr>
        <w:ind w:firstLine="708"/>
        <w:jc w:val="both"/>
        <w:rPr>
          <w:bCs/>
          <w:sz w:val="28"/>
          <w:szCs w:val="28"/>
        </w:rPr>
      </w:pPr>
      <w:r>
        <w:rPr>
          <w:bCs/>
          <w:sz w:val="28"/>
          <w:szCs w:val="28"/>
        </w:rPr>
        <w:t>Установлено, что с точки зрения клинической эффективности и экономической выгодности н</w:t>
      </w:r>
      <w:r w:rsidRPr="00A97226">
        <w:rPr>
          <w:bCs/>
          <w:sz w:val="28"/>
          <w:szCs w:val="28"/>
        </w:rPr>
        <w:t>аиболее привлекательными для использования в клинической практике являются методы комплексного лечения</w:t>
      </w:r>
      <w:r>
        <w:rPr>
          <w:bCs/>
          <w:sz w:val="28"/>
          <w:szCs w:val="28"/>
        </w:rPr>
        <w:t xml:space="preserve"> хронического пародонтита</w:t>
      </w:r>
      <w:r w:rsidRPr="00A97226">
        <w:rPr>
          <w:bCs/>
          <w:sz w:val="28"/>
          <w:szCs w:val="28"/>
        </w:rPr>
        <w:t>:</w:t>
      </w:r>
      <w:r>
        <w:rPr>
          <w:bCs/>
          <w:sz w:val="28"/>
          <w:szCs w:val="28"/>
        </w:rPr>
        <w:t xml:space="preserve"> </w:t>
      </w:r>
      <w:r w:rsidRPr="00A97226">
        <w:rPr>
          <w:bCs/>
          <w:sz w:val="28"/>
          <w:szCs w:val="28"/>
        </w:rPr>
        <w:t xml:space="preserve">лазеротерапия в сочетании с терапией ровамицином; сочетание традиционной антимикробной терапии 0,2% </w:t>
      </w:r>
      <w:r>
        <w:rPr>
          <w:bCs/>
          <w:sz w:val="28"/>
          <w:szCs w:val="28"/>
        </w:rPr>
        <w:t xml:space="preserve">раствором </w:t>
      </w:r>
      <w:r w:rsidRPr="00A97226">
        <w:rPr>
          <w:bCs/>
          <w:sz w:val="28"/>
          <w:szCs w:val="28"/>
        </w:rPr>
        <w:t>хлоргексидин</w:t>
      </w:r>
      <w:r>
        <w:rPr>
          <w:bCs/>
          <w:sz w:val="28"/>
          <w:szCs w:val="28"/>
        </w:rPr>
        <w:t>а</w:t>
      </w:r>
      <w:r w:rsidRPr="00A97226">
        <w:rPr>
          <w:bCs/>
          <w:sz w:val="28"/>
          <w:szCs w:val="28"/>
        </w:rPr>
        <w:t xml:space="preserve"> биглюконат</w:t>
      </w:r>
      <w:r>
        <w:rPr>
          <w:bCs/>
          <w:sz w:val="28"/>
          <w:szCs w:val="28"/>
        </w:rPr>
        <w:t>а</w:t>
      </w:r>
      <w:r w:rsidRPr="00A97226">
        <w:rPr>
          <w:bCs/>
          <w:sz w:val="28"/>
          <w:szCs w:val="28"/>
        </w:rPr>
        <w:t xml:space="preserve"> с ровамицином.</w:t>
      </w:r>
    </w:p>
    <w:p w:rsidR="00254EE8" w:rsidRDefault="00254EE8" w:rsidP="004106FA">
      <w:pPr>
        <w:ind w:firstLine="840"/>
        <w:jc w:val="both"/>
        <w:rPr>
          <w:sz w:val="28"/>
          <w:szCs w:val="28"/>
        </w:rPr>
      </w:pPr>
      <w:r>
        <w:rPr>
          <w:rFonts w:eastAsia="Calibri"/>
          <w:b/>
          <w:sz w:val="28"/>
          <w:szCs w:val="28"/>
          <w:lang w:eastAsia="en-US"/>
        </w:rPr>
        <w:t>Научная новизна.</w:t>
      </w:r>
      <w:r w:rsidRPr="00692DA8">
        <w:rPr>
          <w:rFonts w:eastAsia="Calibri"/>
          <w:bCs/>
          <w:sz w:val="28"/>
          <w:szCs w:val="28"/>
          <w:lang w:eastAsia="en-US"/>
        </w:rPr>
        <w:t xml:space="preserve"> </w:t>
      </w:r>
      <w:r w:rsidRPr="00B548CF">
        <w:rPr>
          <w:sz w:val="28"/>
          <w:szCs w:val="28"/>
        </w:rPr>
        <w:t>Впервые проведен анализ информированности стоматологов о диагностических и лечебных методах лечения хронических воспалительн</w:t>
      </w:r>
      <w:r>
        <w:rPr>
          <w:sz w:val="28"/>
          <w:szCs w:val="28"/>
        </w:rPr>
        <w:t>ых заболеваний тканей пародонта, получены данные о существующей практике лечения этих заболеваний.</w:t>
      </w:r>
      <w:r w:rsidRPr="00B548CF">
        <w:rPr>
          <w:sz w:val="28"/>
          <w:szCs w:val="28"/>
        </w:rPr>
        <w:t xml:space="preserve"> </w:t>
      </w:r>
      <w:r w:rsidRPr="00B548CF">
        <w:rPr>
          <w:color w:val="000000"/>
          <w:sz w:val="28"/>
          <w:szCs w:val="28"/>
        </w:rPr>
        <w:t>Впервые дана оценка</w:t>
      </w:r>
      <w:r>
        <w:rPr>
          <w:color w:val="000000"/>
          <w:sz w:val="28"/>
          <w:szCs w:val="28"/>
        </w:rPr>
        <w:t xml:space="preserve"> клинической эффективности</w:t>
      </w:r>
      <w:r w:rsidRPr="00B548CF">
        <w:rPr>
          <w:color w:val="000000"/>
          <w:sz w:val="28"/>
          <w:szCs w:val="28"/>
        </w:rPr>
        <w:t xml:space="preserve"> </w:t>
      </w:r>
      <w:r w:rsidRPr="00B548CF">
        <w:rPr>
          <w:sz w:val="28"/>
          <w:szCs w:val="28"/>
        </w:rPr>
        <w:t xml:space="preserve">и экономической выгодности терапии хронического генерализованного пародонтита </w:t>
      </w:r>
      <w:r w:rsidRPr="00B548CF">
        <w:rPr>
          <w:sz w:val="28"/>
          <w:szCs w:val="28"/>
          <w:lang w:bidi="my-MM"/>
        </w:rPr>
        <w:t>ровамицином в сочетании с лазерным излучением и ровамицином в сочетании с</w:t>
      </w:r>
      <w:r w:rsidRPr="00B548CF">
        <w:rPr>
          <w:sz w:val="28"/>
          <w:szCs w:val="28"/>
        </w:rPr>
        <w:t xml:space="preserve"> традиционной терапией.</w:t>
      </w:r>
    </w:p>
    <w:p w:rsidR="00254EE8" w:rsidRDefault="00254EE8" w:rsidP="004106FA">
      <w:pPr>
        <w:ind w:firstLine="708"/>
        <w:jc w:val="both"/>
        <w:rPr>
          <w:sz w:val="28"/>
          <w:szCs w:val="28"/>
        </w:rPr>
      </w:pPr>
      <w:r w:rsidRPr="0019673C">
        <w:rPr>
          <w:b/>
          <w:sz w:val="28"/>
          <w:szCs w:val="28"/>
        </w:rPr>
        <w:t>Область применения:</w:t>
      </w:r>
      <w:r w:rsidRPr="0019673C">
        <w:rPr>
          <w:sz w:val="28"/>
          <w:szCs w:val="28"/>
        </w:rPr>
        <w:t xml:space="preserve"> клиническая фармакология, стоматология.</w:t>
      </w:r>
    </w:p>
    <w:p w:rsidR="002F679A" w:rsidRDefault="002F679A" w:rsidP="004777BC">
      <w:pPr>
        <w:jc w:val="center"/>
        <w:rPr>
          <w:b/>
          <w:sz w:val="28"/>
          <w:szCs w:val="28"/>
          <w:lang w:val="ky-KG"/>
        </w:rPr>
      </w:pPr>
    </w:p>
    <w:p w:rsidR="00AA269C" w:rsidRPr="004777BC" w:rsidRDefault="00AA269C" w:rsidP="004777BC">
      <w:pPr>
        <w:jc w:val="center"/>
        <w:rPr>
          <w:b/>
          <w:sz w:val="28"/>
          <w:szCs w:val="28"/>
          <w:lang w:val="ky-KG"/>
        </w:rPr>
      </w:pPr>
      <w:r w:rsidRPr="004777BC">
        <w:rPr>
          <w:b/>
          <w:sz w:val="28"/>
          <w:szCs w:val="28"/>
          <w:lang w:val="ky-KG"/>
        </w:rPr>
        <w:t>SUMMARY</w:t>
      </w:r>
    </w:p>
    <w:p w:rsidR="00AA269C" w:rsidRPr="004777BC" w:rsidRDefault="004777BC" w:rsidP="00AA269C">
      <w:pPr>
        <w:jc w:val="both"/>
        <w:rPr>
          <w:b/>
          <w:sz w:val="28"/>
          <w:szCs w:val="28"/>
          <w:lang w:val="ky-KG"/>
        </w:rPr>
      </w:pPr>
      <w:r>
        <w:rPr>
          <w:b/>
          <w:sz w:val="28"/>
          <w:szCs w:val="28"/>
          <w:lang w:val="ky-KG"/>
        </w:rPr>
        <w:t>dissertation Imanalieva Ale</w:t>
      </w:r>
      <w:r>
        <w:rPr>
          <w:b/>
          <w:sz w:val="28"/>
          <w:szCs w:val="28"/>
          <w:lang w:val="en-IE"/>
        </w:rPr>
        <w:t>z</w:t>
      </w:r>
      <w:r>
        <w:rPr>
          <w:b/>
          <w:sz w:val="28"/>
          <w:szCs w:val="28"/>
          <w:lang w:val="ky-KG"/>
        </w:rPr>
        <w:t>a Dzhekshenovny on "</w:t>
      </w:r>
      <w:r>
        <w:rPr>
          <w:b/>
          <w:sz w:val="28"/>
          <w:szCs w:val="28"/>
          <w:lang w:val="en-IE"/>
        </w:rPr>
        <w:t>P</w:t>
      </w:r>
      <w:r w:rsidR="00AA269C" w:rsidRPr="004777BC">
        <w:rPr>
          <w:b/>
          <w:sz w:val="28"/>
          <w:szCs w:val="28"/>
          <w:lang w:val="ky-KG"/>
        </w:rPr>
        <w:t>harmacoepidemiological, pharmacoeconomic evaluation and ways to rationalize the treatment of chronic periodontitis" for the degree of candidate of medical sciences in specialty 14.03.06 - Pharmacology, Clinical Pharmacolog</w:t>
      </w:r>
      <w:r w:rsidRPr="004777BC">
        <w:rPr>
          <w:b/>
          <w:sz w:val="28"/>
          <w:szCs w:val="28"/>
          <w:lang w:val="ky-KG"/>
        </w:rPr>
        <w:t xml:space="preserve">y and 14.01.14 - stomatology </w:t>
      </w:r>
    </w:p>
    <w:p w:rsidR="00AA269C" w:rsidRPr="00AA269C" w:rsidRDefault="00AA269C" w:rsidP="00AA269C">
      <w:pPr>
        <w:jc w:val="both"/>
        <w:rPr>
          <w:sz w:val="28"/>
          <w:szCs w:val="28"/>
          <w:lang w:val="ky-KG"/>
        </w:rPr>
      </w:pPr>
    </w:p>
    <w:p w:rsidR="00AA269C" w:rsidRPr="00AA269C" w:rsidRDefault="00AA269C" w:rsidP="00AA269C">
      <w:pPr>
        <w:ind w:firstLine="708"/>
        <w:jc w:val="both"/>
        <w:rPr>
          <w:sz w:val="28"/>
          <w:szCs w:val="28"/>
          <w:lang w:val="ky-KG"/>
        </w:rPr>
      </w:pPr>
      <w:r w:rsidRPr="00AA269C">
        <w:rPr>
          <w:b/>
          <w:sz w:val="28"/>
          <w:szCs w:val="28"/>
          <w:lang w:val="ky-KG"/>
        </w:rPr>
        <w:t>Key words:</w:t>
      </w:r>
      <w:r w:rsidRPr="00AA269C">
        <w:rPr>
          <w:sz w:val="28"/>
          <w:szCs w:val="28"/>
          <w:lang w:val="ky-KG"/>
        </w:rPr>
        <w:t xml:space="preserve"> chronic generalized periodontitis, antimicrobial therapy, pharmacoeconomics.</w:t>
      </w:r>
    </w:p>
    <w:p w:rsidR="00AA269C" w:rsidRPr="00AA269C" w:rsidRDefault="00AA269C" w:rsidP="007F0E89">
      <w:pPr>
        <w:ind w:firstLine="708"/>
        <w:jc w:val="both"/>
        <w:rPr>
          <w:sz w:val="28"/>
          <w:szCs w:val="28"/>
          <w:lang w:val="ky-KG"/>
        </w:rPr>
      </w:pPr>
      <w:r w:rsidRPr="00AA269C">
        <w:rPr>
          <w:b/>
          <w:sz w:val="28"/>
          <w:szCs w:val="28"/>
          <w:lang w:val="ky-KG"/>
        </w:rPr>
        <w:t>Objects of research</w:t>
      </w:r>
      <w:r w:rsidRPr="00AA269C">
        <w:rPr>
          <w:sz w:val="28"/>
          <w:szCs w:val="28"/>
          <w:lang w:val="ky-KG"/>
        </w:rPr>
        <w:t>: statistical reporting form number 12 "Report FMC", dentists, patients, data on the cost of dental services and the cost of medicines.</w:t>
      </w:r>
    </w:p>
    <w:p w:rsidR="00AA269C" w:rsidRPr="00AA269C" w:rsidRDefault="00AA269C" w:rsidP="00AA269C">
      <w:pPr>
        <w:jc w:val="both"/>
        <w:rPr>
          <w:sz w:val="28"/>
          <w:szCs w:val="28"/>
          <w:lang w:val="ky-KG"/>
        </w:rPr>
      </w:pPr>
      <w:r w:rsidRPr="00AA269C">
        <w:rPr>
          <w:sz w:val="28"/>
          <w:szCs w:val="28"/>
          <w:lang w:val="ky-KG"/>
        </w:rPr>
        <w:t>The purpose of the study. Development of ways to optimize the treatment of chronic periodontitis of moderate severity based on the analysis of pharmacoepidemiological and pharmacoeconomic evaluation of use of drugs and therapeutic medical procedures.</w:t>
      </w:r>
    </w:p>
    <w:p w:rsidR="00AA269C" w:rsidRPr="00AA269C" w:rsidRDefault="00AA269C" w:rsidP="007F0E89">
      <w:pPr>
        <w:ind w:firstLine="708"/>
        <w:jc w:val="both"/>
        <w:rPr>
          <w:sz w:val="28"/>
          <w:szCs w:val="28"/>
          <w:lang w:val="ky-KG"/>
        </w:rPr>
      </w:pPr>
      <w:r w:rsidRPr="004777BC">
        <w:rPr>
          <w:b/>
          <w:sz w:val="28"/>
          <w:szCs w:val="28"/>
          <w:lang w:val="ky-KG"/>
        </w:rPr>
        <w:t xml:space="preserve">Methods: </w:t>
      </w:r>
      <w:r w:rsidRPr="00AA269C">
        <w:rPr>
          <w:sz w:val="28"/>
          <w:szCs w:val="28"/>
          <w:lang w:val="ky-KG"/>
        </w:rPr>
        <w:t>epidemiological, sociological, clinical, laboratory and statistical.</w:t>
      </w:r>
    </w:p>
    <w:p w:rsidR="00AA269C" w:rsidRPr="00AA269C" w:rsidRDefault="00AA269C" w:rsidP="00AA269C">
      <w:pPr>
        <w:jc w:val="both"/>
        <w:rPr>
          <w:sz w:val="28"/>
          <w:szCs w:val="28"/>
          <w:lang w:val="ky-KG"/>
        </w:rPr>
      </w:pPr>
      <w:r w:rsidRPr="00AA269C">
        <w:rPr>
          <w:sz w:val="28"/>
          <w:szCs w:val="28"/>
          <w:lang w:val="ky-KG"/>
        </w:rPr>
        <w:t>Results of the study. Against the background of the common dental diseases in Bishkek, revealed an increase in the frequency of chronic diseases of the oral cavity of the adult population from 23.6% to 27.1% and a decrease in the prevalence of periodontal disease (2.4%).</w:t>
      </w:r>
    </w:p>
    <w:p w:rsidR="00AA269C" w:rsidRPr="00AA269C" w:rsidRDefault="00AA269C" w:rsidP="004777BC">
      <w:pPr>
        <w:ind w:firstLine="708"/>
        <w:jc w:val="both"/>
        <w:rPr>
          <w:sz w:val="28"/>
          <w:szCs w:val="28"/>
          <w:lang w:val="ky-KG"/>
        </w:rPr>
      </w:pPr>
      <w:r w:rsidRPr="00AA269C">
        <w:rPr>
          <w:sz w:val="28"/>
          <w:szCs w:val="28"/>
          <w:lang w:val="ky-KG"/>
        </w:rPr>
        <w:t>Pharmacotherapy of chronic inflammatory periodontal diseases in dental clinics in Bishkek held irrational: for antimicrobial therapy in 55.2% of cases used amoxicillin and amoxicillin / clavulanate, and in 47.1% lincomycin, which is 56.1% of the cases assigned locally. At the same time 100% of the doctors do not have a clear understanding of the basic principles of modern treatment of chronic diseases of periodontal tissues.</w:t>
      </w:r>
      <w:r w:rsidR="004777BC">
        <w:rPr>
          <w:sz w:val="28"/>
          <w:szCs w:val="28"/>
          <w:lang w:val="ky-KG"/>
        </w:rPr>
        <w:t xml:space="preserve"> </w:t>
      </w:r>
      <w:r w:rsidRPr="00AA269C">
        <w:rPr>
          <w:sz w:val="28"/>
          <w:szCs w:val="28"/>
          <w:lang w:val="ky-KG"/>
        </w:rPr>
        <w:t>It was found that in terms of the clinical effectiveness and cost-benefit most attractive for use in clinical practice are the methods of treatment of chronic periodontitis: laser therapy in combination with therapy Rovamycinum; combination of traditional antimicrobial therapy of 0.2% chlorhexidine bigluconate with Rovamycinum.</w:t>
      </w:r>
    </w:p>
    <w:p w:rsidR="00AA269C" w:rsidRPr="00AA269C" w:rsidRDefault="00AA269C" w:rsidP="004777BC">
      <w:pPr>
        <w:ind w:firstLine="708"/>
        <w:jc w:val="both"/>
        <w:rPr>
          <w:sz w:val="28"/>
          <w:szCs w:val="28"/>
          <w:lang w:val="ky-KG"/>
        </w:rPr>
      </w:pPr>
      <w:r w:rsidRPr="004777BC">
        <w:rPr>
          <w:b/>
          <w:sz w:val="28"/>
          <w:szCs w:val="28"/>
          <w:lang w:val="ky-KG"/>
        </w:rPr>
        <w:t>Scientific novelty</w:t>
      </w:r>
      <w:r w:rsidRPr="00AA269C">
        <w:rPr>
          <w:sz w:val="28"/>
          <w:szCs w:val="28"/>
          <w:lang w:val="ky-KG"/>
        </w:rPr>
        <w:t>. For the first time an analysis of awareness of dentists on the diagnostic and therapeutic methods of treatment of chronic inflammatory diseases of periodontal tissues, obtained data on the current practice of treating these diseases. For the first time assessed the clinical efficacy and cost-effective treatment of chronic generalized periodontitis Rovamycinum in combination with laser radiation and Rovamycinum in conjunction with conventional therapy.</w:t>
      </w:r>
    </w:p>
    <w:p w:rsidR="009D7BC5" w:rsidRDefault="00AA269C" w:rsidP="007F0E89">
      <w:pPr>
        <w:ind w:firstLine="708"/>
        <w:jc w:val="both"/>
        <w:rPr>
          <w:sz w:val="28"/>
          <w:szCs w:val="28"/>
          <w:lang w:val="ky-KG"/>
        </w:rPr>
      </w:pPr>
      <w:r w:rsidRPr="004777BC">
        <w:rPr>
          <w:b/>
          <w:sz w:val="28"/>
          <w:szCs w:val="28"/>
          <w:lang w:val="ky-KG"/>
        </w:rPr>
        <w:t>Scope:</w:t>
      </w:r>
      <w:r w:rsidRPr="00AA269C">
        <w:rPr>
          <w:sz w:val="28"/>
          <w:szCs w:val="28"/>
          <w:lang w:val="ky-KG"/>
        </w:rPr>
        <w:t xml:space="preserve"> clinical pharmacology, dentistry.</w:t>
      </w:r>
    </w:p>
    <w:p w:rsidR="002F679A" w:rsidRDefault="002F679A" w:rsidP="007F0E89">
      <w:pPr>
        <w:ind w:firstLine="708"/>
        <w:jc w:val="both"/>
        <w:rPr>
          <w:sz w:val="28"/>
          <w:szCs w:val="28"/>
          <w:lang w:val="ky-KG"/>
        </w:rPr>
      </w:pPr>
    </w:p>
    <w:p w:rsidR="002F679A" w:rsidRDefault="002F679A" w:rsidP="007F0E89">
      <w:pPr>
        <w:ind w:firstLine="708"/>
        <w:jc w:val="both"/>
        <w:rPr>
          <w:sz w:val="28"/>
          <w:szCs w:val="28"/>
          <w:lang w:val="ky-KG"/>
        </w:rPr>
      </w:pPr>
    </w:p>
    <w:p w:rsidR="002F679A" w:rsidRDefault="002F679A" w:rsidP="007F0E89">
      <w:pPr>
        <w:ind w:firstLine="708"/>
        <w:jc w:val="both"/>
        <w:rPr>
          <w:sz w:val="28"/>
          <w:szCs w:val="28"/>
          <w:lang w:val="ky-KG"/>
        </w:rPr>
      </w:pPr>
    </w:p>
    <w:p w:rsidR="002F679A" w:rsidRDefault="002F679A" w:rsidP="007F0E89">
      <w:pPr>
        <w:ind w:firstLine="708"/>
        <w:jc w:val="both"/>
        <w:rPr>
          <w:sz w:val="28"/>
          <w:szCs w:val="28"/>
          <w:lang w:val="ky-KG"/>
        </w:rPr>
      </w:pPr>
    </w:p>
    <w:p w:rsidR="002F679A" w:rsidRDefault="002F679A" w:rsidP="007F0E89">
      <w:pPr>
        <w:ind w:firstLine="708"/>
        <w:jc w:val="both"/>
        <w:rPr>
          <w:sz w:val="28"/>
          <w:szCs w:val="28"/>
          <w:lang w:val="ky-KG"/>
        </w:rPr>
      </w:pPr>
    </w:p>
    <w:p w:rsidR="002F679A" w:rsidRDefault="002F679A" w:rsidP="007F0E89">
      <w:pPr>
        <w:ind w:firstLine="708"/>
        <w:jc w:val="both"/>
        <w:rPr>
          <w:sz w:val="28"/>
          <w:szCs w:val="28"/>
          <w:lang w:val="ky-KG"/>
        </w:rPr>
      </w:pPr>
    </w:p>
    <w:p w:rsidR="002F679A" w:rsidRPr="002F22DE" w:rsidRDefault="002F679A" w:rsidP="002F679A">
      <w:pPr>
        <w:jc w:val="both"/>
        <w:rPr>
          <w:b/>
          <w:sz w:val="28"/>
          <w:szCs w:val="28"/>
          <w:lang w:val="ky-KG"/>
        </w:rPr>
      </w:pPr>
      <w:r w:rsidRPr="002F22DE">
        <w:rPr>
          <w:b/>
          <w:sz w:val="28"/>
          <w:szCs w:val="28"/>
          <w:lang w:val="ky-KG"/>
        </w:rPr>
        <w:lastRenderedPageBreak/>
        <w:t xml:space="preserve">Иманалиева Ализа Джекшеновнанын «Ɵнɵкɵт пародонтитке фармакоэпидемиологиялык, фармакоэкономикалык баа берʏʏ жана дарылоону рационалдуу кылуу» деген темадагы 14.03.06 – фармакология, клиникалык фармакология жана 14.01.14 – стоматология адистиктери боюнча медициналык илимдин кандидаты окумуштуулук даражасын изденип алуу  ʏчʏн жазылган диссертациясынын </w:t>
      </w:r>
    </w:p>
    <w:p w:rsidR="002F679A" w:rsidRPr="002F679A" w:rsidRDefault="002F679A" w:rsidP="002F679A">
      <w:pPr>
        <w:jc w:val="center"/>
        <w:rPr>
          <w:b/>
          <w:sz w:val="16"/>
          <w:szCs w:val="16"/>
          <w:lang w:val="ky-KG"/>
        </w:rPr>
      </w:pPr>
    </w:p>
    <w:p w:rsidR="002F679A" w:rsidRDefault="002F679A" w:rsidP="002F679A">
      <w:pPr>
        <w:jc w:val="center"/>
        <w:rPr>
          <w:b/>
          <w:sz w:val="28"/>
          <w:szCs w:val="28"/>
          <w:lang w:val="ky-KG"/>
        </w:rPr>
      </w:pPr>
      <w:r w:rsidRPr="002F22DE">
        <w:rPr>
          <w:b/>
          <w:sz w:val="28"/>
          <w:szCs w:val="28"/>
          <w:lang w:val="ky-KG"/>
        </w:rPr>
        <w:t>РЕЗЮМЕСИ</w:t>
      </w:r>
    </w:p>
    <w:p w:rsidR="002F679A" w:rsidRPr="002F679A" w:rsidRDefault="002F679A" w:rsidP="002F679A">
      <w:pPr>
        <w:jc w:val="center"/>
        <w:rPr>
          <w:b/>
          <w:sz w:val="16"/>
          <w:szCs w:val="16"/>
          <w:lang w:val="ky-KG"/>
        </w:rPr>
      </w:pPr>
    </w:p>
    <w:p w:rsidR="002F679A" w:rsidRPr="002F22DE" w:rsidRDefault="002F679A" w:rsidP="002F679A">
      <w:pPr>
        <w:ind w:firstLine="708"/>
        <w:jc w:val="both"/>
        <w:rPr>
          <w:sz w:val="28"/>
          <w:szCs w:val="28"/>
          <w:lang w:val="ky-KG"/>
        </w:rPr>
      </w:pPr>
      <w:r w:rsidRPr="002F22DE">
        <w:rPr>
          <w:b/>
          <w:sz w:val="28"/>
          <w:szCs w:val="28"/>
          <w:lang w:val="ky-KG"/>
        </w:rPr>
        <w:t>Негизги сɵздɵр</w:t>
      </w:r>
      <w:r w:rsidRPr="002F22DE">
        <w:rPr>
          <w:sz w:val="28"/>
          <w:szCs w:val="28"/>
          <w:lang w:val="ky-KG"/>
        </w:rPr>
        <w:t>: ɵнɵкɵт кеңири таркаган (ɵтʏшʏп кеткен) пародонтит, микробко каршы дарылоо, фармакоэкономика.</w:t>
      </w:r>
    </w:p>
    <w:p w:rsidR="002F679A" w:rsidRPr="002F22DE" w:rsidRDefault="002F679A" w:rsidP="002F679A">
      <w:pPr>
        <w:ind w:firstLine="708"/>
        <w:jc w:val="both"/>
        <w:rPr>
          <w:sz w:val="28"/>
          <w:szCs w:val="28"/>
          <w:lang w:val="ky-KG"/>
        </w:rPr>
      </w:pPr>
      <w:r w:rsidRPr="002F22DE">
        <w:rPr>
          <w:b/>
          <w:sz w:val="28"/>
          <w:szCs w:val="28"/>
          <w:lang w:val="ky-KG"/>
        </w:rPr>
        <w:t>Изилдɵɵнʏн объекттери</w:t>
      </w:r>
      <w:r w:rsidRPr="002F22DE">
        <w:rPr>
          <w:sz w:val="28"/>
          <w:szCs w:val="28"/>
          <w:lang w:val="ky-KG"/>
        </w:rPr>
        <w:t xml:space="preserve">: № 12 отчеттук статистикалык баракчалары, ʏй-бʏлɵɵ медициналык борборлору, стоматолог-дарыгерлер, пациенттер, стоматологиялык кызмат акылары жана дары каражаттарынын баасы. </w:t>
      </w:r>
    </w:p>
    <w:p w:rsidR="002F679A" w:rsidRPr="002F22DE" w:rsidRDefault="002F679A" w:rsidP="002F679A">
      <w:pPr>
        <w:ind w:firstLine="708"/>
        <w:jc w:val="both"/>
        <w:rPr>
          <w:sz w:val="28"/>
          <w:szCs w:val="28"/>
          <w:lang w:val="ky-KG"/>
        </w:rPr>
      </w:pPr>
      <w:r w:rsidRPr="002F22DE">
        <w:rPr>
          <w:b/>
          <w:sz w:val="28"/>
          <w:szCs w:val="28"/>
          <w:lang w:val="ky-KG"/>
        </w:rPr>
        <w:t>Изилдɵɵнʏн максаты:</w:t>
      </w:r>
      <w:r w:rsidRPr="002F22DE">
        <w:rPr>
          <w:sz w:val="28"/>
          <w:szCs w:val="28"/>
          <w:lang w:val="ky-KG"/>
        </w:rPr>
        <w:t xml:space="preserve"> фармакоэпидемиологиялык анализдин жана фармакоэкономикалык баанын негизинде дарыларды колдонуунун жана медициналык дарылоо ыкмаларынын орто даражадагы оордуктагы  ɵнɵкɵт пародонтитти дарылоонун оптималдуу жолдорун иштеп чыгуу.  </w:t>
      </w:r>
    </w:p>
    <w:p w:rsidR="002F679A" w:rsidRDefault="002F679A" w:rsidP="002F679A">
      <w:pPr>
        <w:ind w:firstLine="708"/>
        <w:jc w:val="both"/>
        <w:rPr>
          <w:sz w:val="28"/>
          <w:szCs w:val="28"/>
        </w:rPr>
      </w:pPr>
      <w:r w:rsidRPr="004F45A0">
        <w:rPr>
          <w:b/>
          <w:sz w:val="28"/>
          <w:szCs w:val="28"/>
        </w:rPr>
        <w:t>Изилдɵɵнʏн ыкмалары:</w:t>
      </w:r>
      <w:r>
        <w:rPr>
          <w:sz w:val="28"/>
          <w:szCs w:val="28"/>
        </w:rPr>
        <w:t xml:space="preserve"> эпидемиологиялык, социологиялык , клиникалык, лабораториялык жана статистикалык. </w:t>
      </w:r>
    </w:p>
    <w:p w:rsidR="002F679A" w:rsidRDefault="002F679A" w:rsidP="002F679A">
      <w:pPr>
        <w:ind w:firstLine="708"/>
        <w:jc w:val="both"/>
        <w:rPr>
          <w:sz w:val="28"/>
          <w:szCs w:val="28"/>
        </w:rPr>
      </w:pPr>
      <w:r w:rsidRPr="004F45A0">
        <w:rPr>
          <w:b/>
          <w:sz w:val="28"/>
          <w:szCs w:val="28"/>
        </w:rPr>
        <w:t>Изилдɵɵнʏн натыйжалары.</w:t>
      </w:r>
      <w:r>
        <w:rPr>
          <w:b/>
          <w:sz w:val="28"/>
          <w:szCs w:val="28"/>
        </w:rPr>
        <w:t xml:space="preserve"> </w:t>
      </w:r>
      <w:r w:rsidRPr="004F45A0">
        <w:rPr>
          <w:sz w:val="28"/>
          <w:szCs w:val="28"/>
        </w:rPr>
        <w:t>Бишкек шаарында тиш ооруларынын кɵбɵйʏʏсʏ менен бирге чон кишилер арасында ооз кɵндɵйʏнʏн органдарынын ооруп калуулар</w:t>
      </w:r>
      <w:r>
        <w:rPr>
          <w:sz w:val="28"/>
          <w:szCs w:val="28"/>
        </w:rPr>
        <w:t xml:space="preserve">ы 23,6 % дан 27,1 % га чейин </w:t>
      </w:r>
      <w:r w:rsidRPr="004F45A0">
        <w:rPr>
          <w:sz w:val="28"/>
          <w:szCs w:val="28"/>
        </w:rPr>
        <w:t>ɵ</w:t>
      </w:r>
      <w:r>
        <w:rPr>
          <w:sz w:val="28"/>
          <w:szCs w:val="28"/>
        </w:rPr>
        <w:t>ск</w:t>
      </w:r>
      <w:r w:rsidRPr="004F45A0">
        <w:rPr>
          <w:sz w:val="28"/>
          <w:szCs w:val="28"/>
        </w:rPr>
        <w:t>ɵ</w:t>
      </w:r>
      <w:r>
        <w:rPr>
          <w:sz w:val="28"/>
          <w:szCs w:val="28"/>
        </w:rPr>
        <w:t>нд</w:t>
      </w:r>
      <w:r w:rsidRPr="004F45A0">
        <w:rPr>
          <w:sz w:val="28"/>
          <w:szCs w:val="28"/>
        </w:rPr>
        <w:t>ʏ</w:t>
      </w:r>
      <w:r>
        <w:rPr>
          <w:sz w:val="28"/>
          <w:szCs w:val="28"/>
        </w:rPr>
        <w:t>г</w:t>
      </w:r>
      <w:r w:rsidRPr="004F45A0">
        <w:rPr>
          <w:sz w:val="28"/>
          <w:szCs w:val="28"/>
        </w:rPr>
        <w:t>ʏ</w:t>
      </w:r>
      <w:r>
        <w:rPr>
          <w:sz w:val="28"/>
          <w:szCs w:val="28"/>
        </w:rPr>
        <w:t xml:space="preserve"> жана б</w:t>
      </w:r>
      <w:r w:rsidRPr="004F45A0">
        <w:rPr>
          <w:sz w:val="28"/>
          <w:szCs w:val="28"/>
        </w:rPr>
        <w:t>ʏ</w:t>
      </w:r>
      <w:r>
        <w:rPr>
          <w:sz w:val="28"/>
          <w:szCs w:val="28"/>
        </w:rPr>
        <w:t>йл</w:t>
      </w:r>
      <w:r w:rsidRPr="004F45A0">
        <w:rPr>
          <w:sz w:val="28"/>
          <w:szCs w:val="28"/>
        </w:rPr>
        <w:t>ɵ</w:t>
      </w:r>
      <w:r>
        <w:rPr>
          <w:sz w:val="28"/>
          <w:szCs w:val="28"/>
        </w:rPr>
        <w:t>л</w:t>
      </w:r>
      <w:r w:rsidRPr="004F45A0">
        <w:rPr>
          <w:sz w:val="28"/>
          <w:szCs w:val="28"/>
        </w:rPr>
        <w:t>ɵ</w:t>
      </w:r>
      <w:r>
        <w:rPr>
          <w:sz w:val="28"/>
          <w:szCs w:val="28"/>
        </w:rPr>
        <w:t>рд</w:t>
      </w:r>
      <w:r w:rsidRPr="004F45A0">
        <w:rPr>
          <w:sz w:val="28"/>
          <w:szCs w:val="28"/>
        </w:rPr>
        <w:t>ʏ</w:t>
      </w:r>
      <w:r>
        <w:rPr>
          <w:sz w:val="28"/>
          <w:szCs w:val="28"/>
        </w:rPr>
        <w:t>н ооруларынын таркалуу денгээли т</w:t>
      </w:r>
      <w:r w:rsidRPr="004F45A0">
        <w:rPr>
          <w:sz w:val="28"/>
          <w:szCs w:val="28"/>
        </w:rPr>
        <w:t>ɵ</w:t>
      </w:r>
      <w:r>
        <w:rPr>
          <w:sz w:val="28"/>
          <w:szCs w:val="28"/>
        </w:rPr>
        <w:t>м</w:t>
      </w:r>
      <w:r w:rsidRPr="004F45A0">
        <w:rPr>
          <w:sz w:val="28"/>
          <w:szCs w:val="28"/>
        </w:rPr>
        <w:t>ɵ</w:t>
      </w:r>
      <w:r>
        <w:rPr>
          <w:sz w:val="28"/>
          <w:szCs w:val="28"/>
        </w:rPr>
        <w:t>нд</w:t>
      </w:r>
      <w:r w:rsidRPr="004F45A0">
        <w:rPr>
          <w:sz w:val="28"/>
          <w:szCs w:val="28"/>
        </w:rPr>
        <w:t>ɵ</w:t>
      </w:r>
      <w:r>
        <w:rPr>
          <w:sz w:val="28"/>
          <w:szCs w:val="28"/>
        </w:rPr>
        <w:t>г</w:t>
      </w:r>
      <w:r w:rsidRPr="004F45A0">
        <w:rPr>
          <w:sz w:val="28"/>
          <w:szCs w:val="28"/>
        </w:rPr>
        <w:t>ɵ</w:t>
      </w:r>
      <w:r>
        <w:rPr>
          <w:sz w:val="28"/>
          <w:szCs w:val="28"/>
        </w:rPr>
        <w:t>нд</w:t>
      </w:r>
      <w:r w:rsidRPr="004F45A0">
        <w:rPr>
          <w:sz w:val="28"/>
          <w:szCs w:val="28"/>
        </w:rPr>
        <w:t>ʏ</w:t>
      </w:r>
      <w:r>
        <w:rPr>
          <w:sz w:val="28"/>
          <w:szCs w:val="28"/>
        </w:rPr>
        <w:t>г</w:t>
      </w:r>
      <w:r w:rsidRPr="004F45A0">
        <w:rPr>
          <w:sz w:val="28"/>
          <w:szCs w:val="28"/>
        </w:rPr>
        <w:t>ʏ</w:t>
      </w:r>
      <w:r>
        <w:rPr>
          <w:sz w:val="28"/>
          <w:szCs w:val="28"/>
        </w:rPr>
        <w:t xml:space="preserve"> (2,4 %) аныкталды.</w:t>
      </w:r>
    </w:p>
    <w:p w:rsidR="002F679A" w:rsidRPr="004F45A0" w:rsidRDefault="002F679A" w:rsidP="002F679A">
      <w:pPr>
        <w:jc w:val="both"/>
        <w:rPr>
          <w:sz w:val="28"/>
          <w:szCs w:val="28"/>
        </w:rPr>
      </w:pPr>
      <w:r>
        <w:rPr>
          <w:sz w:val="28"/>
          <w:szCs w:val="28"/>
        </w:rPr>
        <w:tab/>
        <w:t>Бишкек шаарынын стоматологиялык клиникаларында б</w:t>
      </w:r>
      <w:r w:rsidRPr="004F45A0">
        <w:rPr>
          <w:sz w:val="28"/>
          <w:szCs w:val="28"/>
        </w:rPr>
        <w:t>ʏ</w:t>
      </w:r>
      <w:r>
        <w:rPr>
          <w:sz w:val="28"/>
          <w:szCs w:val="28"/>
        </w:rPr>
        <w:t>йл</w:t>
      </w:r>
      <w:r w:rsidRPr="004F45A0">
        <w:rPr>
          <w:sz w:val="28"/>
          <w:szCs w:val="28"/>
        </w:rPr>
        <w:t>ɵ</w:t>
      </w:r>
      <w:r>
        <w:rPr>
          <w:sz w:val="28"/>
          <w:szCs w:val="28"/>
        </w:rPr>
        <w:t>л</w:t>
      </w:r>
      <w:r w:rsidRPr="004F45A0">
        <w:rPr>
          <w:sz w:val="28"/>
          <w:szCs w:val="28"/>
        </w:rPr>
        <w:t>ɵ</w:t>
      </w:r>
      <w:r>
        <w:rPr>
          <w:sz w:val="28"/>
          <w:szCs w:val="28"/>
        </w:rPr>
        <w:t>рд</w:t>
      </w:r>
      <w:r w:rsidRPr="004F45A0">
        <w:rPr>
          <w:sz w:val="28"/>
          <w:szCs w:val="28"/>
        </w:rPr>
        <w:t>ʏ</w:t>
      </w:r>
      <w:r>
        <w:rPr>
          <w:sz w:val="28"/>
          <w:szCs w:val="28"/>
        </w:rPr>
        <w:t xml:space="preserve">н </w:t>
      </w:r>
      <w:r w:rsidRPr="004F45A0">
        <w:rPr>
          <w:sz w:val="28"/>
          <w:szCs w:val="28"/>
        </w:rPr>
        <w:t>ɵнɵкɵт</w:t>
      </w:r>
      <w:r>
        <w:rPr>
          <w:sz w:val="28"/>
          <w:szCs w:val="28"/>
        </w:rPr>
        <w:t xml:space="preserve"> сезгенич ооруларын дарылоо рационалдуу ж</w:t>
      </w:r>
      <w:r w:rsidRPr="004F45A0">
        <w:rPr>
          <w:sz w:val="28"/>
          <w:szCs w:val="28"/>
        </w:rPr>
        <w:t>ʏ</w:t>
      </w:r>
      <w:r>
        <w:rPr>
          <w:sz w:val="28"/>
          <w:szCs w:val="28"/>
        </w:rPr>
        <w:t>рг</w:t>
      </w:r>
      <w:r w:rsidRPr="004F45A0">
        <w:rPr>
          <w:sz w:val="28"/>
          <w:szCs w:val="28"/>
        </w:rPr>
        <w:t>ʏ</w:t>
      </w:r>
      <w:r>
        <w:rPr>
          <w:sz w:val="28"/>
          <w:szCs w:val="28"/>
        </w:rPr>
        <w:t>з</w:t>
      </w:r>
      <w:r w:rsidRPr="004F45A0">
        <w:rPr>
          <w:sz w:val="28"/>
          <w:szCs w:val="28"/>
        </w:rPr>
        <w:t>ʏ</w:t>
      </w:r>
      <w:r>
        <w:rPr>
          <w:sz w:val="28"/>
          <w:szCs w:val="28"/>
        </w:rPr>
        <w:t>лб</w:t>
      </w:r>
      <w:r w:rsidRPr="004F45A0">
        <w:rPr>
          <w:sz w:val="28"/>
          <w:szCs w:val="28"/>
        </w:rPr>
        <w:t>ɵ</w:t>
      </w:r>
      <w:r>
        <w:rPr>
          <w:sz w:val="28"/>
          <w:szCs w:val="28"/>
        </w:rPr>
        <w:t>йт: микробко каршы дарылоодо 55,2 % учурларда амоксицилин жана амоксицилиндин клавуланаты, ал эми 47,1 % линкомицинди 56,1 % учурларда ооруган жерге колдонулат. Мында, 100 % учурларда дарыгерлер б</w:t>
      </w:r>
      <w:r w:rsidRPr="004F45A0">
        <w:rPr>
          <w:sz w:val="28"/>
          <w:szCs w:val="28"/>
        </w:rPr>
        <w:t>ʏ</w:t>
      </w:r>
      <w:r>
        <w:rPr>
          <w:sz w:val="28"/>
          <w:szCs w:val="28"/>
        </w:rPr>
        <w:t>йл</w:t>
      </w:r>
      <w:r w:rsidRPr="004F45A0">
        <w:rPr>
          <w:sz w:val="28"/>
          <w:szCs w:val="28"/>
        </w:rPr>
        <w:t>ɵɵ</w:t>
      </w:r>
      <w:r>
        <w:rPr>
          <w:sz w:val="28"/>
          <w:szCs w:val="28"/>
        </w:rPr>
        <w:t xml:space="preserve"> ткандарынын </w:t>
      </w:r>
      <w:r w:rsidRPr="004F45A0">
        <w:rPr>
          <w:sz w:val="28"/>
          <w:szCs w:val="28"/>
        </w:rPr>
        <w:t>ɵнɵкɵт</w:t>
      </w:r>
      <w:r>
        <w:rPr>
          <w:sz w:val="28"/>
          <w:szCs w:val="28"/>
        </w:rPr>
        <w:t xml:space="preserve"> ооруларын дарылоонун негизги заманбап жетишкендиктери тууралуу так т</w:t>
      </w:r>
      <w:r w:rsidRPr="004F45A0">
        <w:rPr>
          <w:sz w:val="28"/>
          <w:szCs w:val="28"/>
        </w:rPr>
        <w:t>ʏ</w:t>
      </w:r>
      <w:r>
        <w:rPr>
          <w:sz w:val="28"/>
          <w:szCs w:val="28"/>
        </w:rPr>
        <w:t>ш</w:t>
      </w:r>
      <w:r w:rsidRPr="004F45A0">
        <w:rPr>
          <w:sz w:val="28"/>
          <w:szCs w:val="28"/>
        </w:rPr>
        <w:t>ʏ</w:t>
      </w:r>
      <w:r>
        <w:rPr>
          <w:sz w:val="28"/>
          <w:szCs w:val="28"/>
        </w:rPr>
        <w:t>н</w:t>
      </w:r>
      <w:r w:rsidRPr="004F45A0">
        <w:rPr>
          <w:sz w:val="28"/>
          <w:szCs w:val="28"/>
        </w:rPr>
        <w:t>ʏ</w:t>
      </w:r>
      <w:r>
        <w:rPr>
          <w:sz w:val="28"/>
          <w:szCs w:val="28"/>
        </w:rPr>
        <w:t>г</w:t>
      </w:r>
      <w:r w:rsidRPr="004F45A0">
        <w:rPr>
          <w:sz w:val="28"/>
          <w:szCs w:val="28"/>
        </w:rPr>
        <w:t>ʏ</w:t>
      </w:r>
      <w:r>
        <w:rPr>
          <w:sz w:val="28"/>
          <w:szCs w:val="28"/>
        </w:rPr>
        <w:t xml:space="preserve"> жок болуп чыгат.  </w:t>
      </w:r>
    </w:p>
    <w:p w:rsidR="002F679A" w:rsidRPr="004F45A0" w:rsidRDefault="002F679A" w:rsidP="002F679A">
      <w:pPr>
        <w:ind w:firstLine="708"/>
        <w:jc w:val="both"/>
        <w:rPr>
          <w:sz w:val="28"/>
          <w:szCs w:val="28"/>
        </w:rPr>
      </w:pPr>
      <w:r w:rsidRPr="00EA1A8B">
        <w:rPr>
          <w:b/>
          <w:sz w:val="28"/>
          <w:szCs w:val="28"/>
        </w:rPr>
        <w:t>Изилдɵɵнʏн алынган жыйынтыктары</w:t>
      </w:r>
      <w:r w:rsidRPr="004F45A0">
        <w:rPr>
          <w:sz w:val="28"/>
          <w:szCs w:val="28"/>
        </w:rPr>
        <w:t>.</w:t>
      </w:r>
      <w:r>
        <w:rPr>
          <w:sz w:val="28"/>
          <w:szCs w:val="28"/>
        </w:rPr>
        <w:t xml:space="preserve"> Клиникалык эффективд</w:t>
      </w:r>
      <w:r w:rsidRPr="004F45A0">
        <w:rPr>
          <w:sz w:val="28"/>
          <w:szCs w:val="28"/>
        </w:rPr>
        <w:t>ʏʏ</w:t>
      </w:r>
      <w:r>
        <w:rPr>
          <w:sz w:val="28"/>
          <w:szCs w:val="28"/>
        </w:rPr>
        <w:t>л</w:t>
      </w:r>
      <w:r w:rsidRPr="004F45A0">
        <w:rPr>
          <w:sz w:val="28"/>
          <w:szCs w:val="28"/>
        </w:rPr>
        <w:t>ʏ</w:t>
      </w:r>
      <w:r>
        <w:rPr>
          <w:sz w:val="28"/>
          <w:szCs w:val="28"/>
        </w:rPr>
        <w:t>г</w:t>
      </w:r>
      <w:r w:rsidRPr="004F45A0">
        <w:rPr>
          <w:sz w:val="28"/>
          <w:szCs w:val="28"/>
        </w:rPr>
        <w:t>ʏ</w:t>
      </w:r>
      <w:r>
        <w:rPr>
          <w:sz w:val="28"/>
          <w:szCs w:val="28"/>
        </w:rPr>
        <w:t xml:space="preserve"> жана экономикалык пайдалуулугу жагынан клиникалык практикада </w:t>
      </w:r>
      <w:r w:rsidRPr="004F45A0">
        <w:rPr>
          <w:sz w:val="28"/>
          <w:szCs w:val="28"/>
        </w:rPr>
        <w:t>ɵнɵкɵт</w:t>
      </w:r>
      <w:r>
        <w:rPr>
          <w:sz w:val="28"/>
          <w:szCs w:val="28"/>
        </w:rPr>
        <w:t xml:space="preserve"> пародонтитти дарылоонун комплекст</w:t>
      </w:r>
      <w:r w:rsidRPr="004F45A0">
        <w:rPr>
          <w:sz w:val="28"/>
          <w:szCs w:val="28"/>
        </w:rPr>
        <w:t>ʏʏ</w:t>
      </w:r>
      <w:r>
        <w:rPr>
          <w:sz w:val="28"/>
          <w:szCs w:val="28"/>
        </w:rPr>
        <w:t xml:space="preserve"> ыкмасын колдонуу туура болуп эсептелет. Лазерди колдонуп, ровамицин менен чогуу дарылоо; кадимки микробко каршы</w:t>
      </w:r>
      <w:r w:rsidRPr="004F45A0">
        <w:rPr>
          <w:sz w:val="28"/>
          <w:szCs w:val="28"/>
        </w:rPr>
        <w:t xml:space="preserve"> </w:t>
      </w:r>
      <w:r>
        <w:rPr>
          <w:sz w:val="28"/>
          <w:szCs w:val="28"/>
        </w:rPr>
        <w:t>0,2 % хлоргексидин биглюконатынын эритмесин ровамицин менен бирге пайдалануу.</w:t>
      </w:r>
    </w:p>
    <w:p w:rsidR="002F679A" w:rsidRDefault="002F679A" w:rsidP="002F679A">
      <w:pPr>
        <w:ind w:firstLine="708"/>
        <w:jc w:val="both"/>
        <w:rPr>
          <w:sz w:val="28"/>
          <w:szCs w:val="28"/>
        </w:rPr>
      </w:pPr>
      <w:r w:rsidRPr="00EA1A8B">
        <w:rPr>
          <w:b/>
          <w:sz w:val="28"/>
          <w:szCs w:val="28"/>
        </w:rPr>
        <w:t>Иштин илимий жаңылыгы</w:t>
      </w:r>
      <w:r>
        <w:rPr>
          <w:sz w:val="28"/>
          <w:szCs w:val="28"/>
        </w:rPr>
        <w:t>. Б</w:t>
      </w:r>
      <w:r w:rsidRPr="004F45A0">
        <w:rPr>
          <w:sz w:val="28"/>
          <w:szCs w:val="28"/>
        </w:rPr>
        <w:t>ʏ</w:t>
      </w:r>
      <w:r>
        <w:rPr>
          <w:sz w:val="28"/>
          <w:szCs w:val="28"/>
        </w:rPr>
        <w:t>йл</w:t>
      </w:r>
      <w:r w:rsidRPr="004F45A0">
        <w:rPr>
          <w:sz w:val="28"/>
          <w:szCs w:val="28"/>
        </w:rPr>
        <w:t>ɵ</w:t>
      </w:r>
      <w:r>
        <w:rPr>
          <w:sz w:val="28"/>
          <w:szCs w:val="28"/>
        </w:rPr>
        <w:t>н</w:t>
      </w:r>
      <w:r w:rsidRPr="004F45A0">
        <w:rPr>
          <w:sz w:val="28"/>
          <w:szCs w:val="28"/>
        </w:rPr>
        <w:t>ʏ</w:t>
      </w:r>
      <w:r>
        <w:rPr>
          <w:sz w:val="28"/>
          <w:szCs w:val="28"/>
        </w:rPr>
        <w:t xml:space="preserve">н ткандарынын </w:t>
      </w:r>
      <w:r w:rsidRPr="004F45A0">
        <w:rPr>
          <w:sz w:val="28"/>
          <w:szCs w:val="28"/>
        </w:rPr>
        <w:t>ɵнɵкɵт</w:t>
      </w:r>
      <w:r>
        <w:rPr>
          <w:sz w:val="28"/>
          <w:szCs w:val="28"/>
        </w:rPr>
        <w:t xml:space="preserve"> сезгенич ооруларынын диагностикалык жана дарылоо ыкмалары ж</w:t>
      </w:r>
      <w:r w:rsidRPr="004F45A0">
        <w:rPr>
          <w:sz w:val="28"/>
          <w:szCs w:val="28"/>
        </w:rPr>
        <w:t>ɵ</w:t>
      </w:r>
      <w:r>
        <w:rPr>
          <w:sz w:val="28"/>
          <w:szCs w:val="28"/>
        </w:rPr>
        <w:t>н</w:t>
      </w:r>
      <w:r w:rsidRPr="004F45A0">
        <w:rPr>
          <w:sz w:val="28"/>
          <w:szCs w:val="28"/>
        </w:rPr>
        <w:t>ʏ</w:t>
      </w:r>
      <w:r>
        <w:rPr>
          <w:sz w:val="28"/>
          <w:szCs w:val="28"/>
        </w:rPr>
        <w:t>нд</w:t>
      </w:r>
      <w:r w:rsidRPr="004F45A0">
        <w:rPr>
          <w:sz w:val="28"/>
          <w:szCs w:val="28"/>
        </w:rPr>
        <w:t>ɵ</w:t>
      </w:r>
      <w:r>
        <w:rPr>
          <w:sz w:val="28"/>
          <w:szCs w:val="28"/>
        </w:rPr>
        <w:t xml:space="preserve"> стоматологтордун кабардар экендиги биринчи жолу такталды, бул ооруларды дарылоонун жолдору такталды. </w:t>
      </w:r>
    </w:p>
    <w:p w:rsidR="002F679A" w:rsidRDefault="002F679A" w:rsidP="002F679A">
      <w:pPr>
        <w:ind w:firstLine="708"/>
        <w:jc w:val="both"/>
        <w:rPr>
          <w:sz w:val="28"/>
          <w:szCs w:val="28"/>
        </w:rPr>
      </w:pPr>
      <w:r w:rsidRPr="002A394B">
        <w:rPr>
          <w:b/>
          <w:sz w:val="28"/>
          <w:szCs w:val="28"/>
        </w:rPr>
        <w:t>Пайдалануу боюнча сунуштамалар.</w:t>
      </w:r>
      <w:r>
        <w:rPr>
          <w:sz w:val="28"/>
          <w:szCs w:val="28"/>
        </w:rPr>
        <w:t xml:space="preserve"> Ɵ</w:t>
      </w:r>
      <w:r w:rsidRPr="004F45A0">
        <w:rPr>
          <w:sz w:val="28"/>
          <w:szCs w:val="28"/>
        </w:rPr>
        <w:t>нɵкɵт</w:t>
      </w:r>
      <w:r>
        <w:rPr>
          <w:sz w:val="28"/>
          <w:szCs w:val="28"/>
        </w:rPr>
        <w:t xml:space="preserve"> </w:t>
      </w:r>
      <w:r w:rsidRPr="004F45A0">
        <w:rPr>
          <w:sz w:val="28"/>
          <w:szCs w:val="28"/>
        </w:rPr>
        <w:t>ɵ</w:t>
      </w:r>
      <w:r>
        <w:rPr>
          <w:sz w:val="28"/>
          <w:szCs w:val="28"/>
        </w:rPr>
        <w:t>т</w:t>
      </w:r>
      <w:r w:rsidRPr="004F45A0">
        <w:rPr>
          <w:sz w:val="28"/>
          <w:szCs w:val="28"/>
        </w:rPr>
        <w:t>ʏ</w:t>
      </w:r>
      <w:r>
        <w:rPr>
          <w:sz w:val="28"/>
          <w:szCs w:val="28"/>
        </w:rPr>
        <w:t>ш</w:t>
      </w:r>
      <w:r w:rsidRPr="004F45A0">
        <w:rPr>
          <w:sz w:val="28"/>
          <w:szCs w:val="28"/>
        </w:rPr>
        <w:t>ʏ</w:t>
      </w:r>
      <w:r>
        <w:rPr>
          <w:sz w:val="28"/>
          <w:szCs w:val="28"/>
        </w:rPr>
        <w:t>п кеткен б</w:t>
      </w:r>
      <w:r w:rsidRPr="004F45A0">
        <w:rPr>
          <w:sz w:val="28"/>
          <w:szCs w:val="28"/>
        </w:rPr>
        <w:t>ʏ</w:t>
      </w:r>
      <w:r>
        <w:rPr>
          <w:sz w:val="28"/>
          <w:szCs w:val="28"/>
        </w:rPr>
        <w:t>йл</w:t>
      </w:r>
      <w:r w:rsidRPr="004F45A0">
        <w:rPr>
          <w:sz w:val="28"/>
          <w:szCs w:val="28"/>
        </w:rPr>
        <w:t>ɵ</w:t>
      </w:r>
      <w:r>
        <w:rPr>
          <w:sz w:val="28"/>
          <w:szCs w:val="28"/>
        </w:rPr>
        <w:t>н</w:t>
      </w:r>
      <w:r w:rsidRPr="004F45A0">
        <w:rPr>
          <w:sz w:val="28"/>
          <w:szCs w:val="28"/>
        </w:rPr>
        <w:t>ʏ</w:t>
      </w:r>
      <w:r>
        <w:rPr>
          <w:sz w:val="28"/>
          <w:szCs w:val="28"/>
        </w:rPr>
        <w:t>н сезген</w:t>
      </w:r>
      <w:r w:rsidRPr="004F45A0">
        <w:rPr>
          <w:sz w:val="28"/>
          <w:szCs w:val="28"/>
        </w:rPr>
        <w:t>ʏʏ</w:t>
      </w:r>
      <w:r>
        <w:rPr>
          <w:sz w:val="28"/>
          <w:szCs w:val="28"/>
        </w:rPr>
        <w:t>с</w:t>
      </w:r>
      <w:r w:rsidRPr="004F45A0">
        <w:rPr>
          <w:sz w:val="28"/>
          <w:szCs w:val="28"/>
        </w:rPr>
        <w:t>ʏ</w:t>
      </w:r>
      <w:r>
        <w:rPr>
          <w:sz w:val="28"/>
          <w:szCs w:val="28"/>
        </w:rPr>
        <w:t>н.</w:t>
      </w:r>
      <w:r w:rsidRPr="00EA1A8B">
        <w:rPr>
          <w:sz w:val="28"/>
          <w:szCs w:val="28"/>
        </w:rPr>
        <w:t xml:space="preserve"> </w:t>
      </w:r>
    </w:p>
    <w:p w:rsidR="002F679A" w:rsidRDefault="002F679A" w:rsidP="002F679A">
      <w:pPr>
        <w:rPr>
          <w:sz w:val="28"/>
          <w:szCs w:val="28"/>
        </w:rPr>
      </w:pPr>
      <w:r>
        <w:rPr>
          <w:sz w:val="28"/>
          <w:szCs w:val="28"/>
        </w:rPr>
        <w:lastRenderedPageBreak/>
        <w:t>лазерди колдонуп, ровамицин менен чогуу дарылоо, ошондой эле кадимки терапияны колдонуу клиникалык жактан эффективт</w:t>
      </w:r>
      <w:r w:rsidRPr="004F45A0">
        <w:rPr>
          <w:sz w:val="28"/>
          <w:szCs w:val="28"/>
        </w:rPr>
        <w:t>ʏʏ</w:t>
      </w:r>
      <w:r>
        <w:rPr>
          <w:sz w:val="28"/>
          <w:szCs w:val="28"/>
        </w:rPr>
        <w:t xml:space="preserve"> жана экономикалык пайдалуу экендиги бааланды.</w:t>
      </w:r>
    </w:p>
    <w:p w:rsidR="002F679A" w:rsidRDefault="002F679A" w:rsidP="002F679A">
      <w:pPr>
        <w:ind w:firstLine="708"/>
        <w:rPr>
          <w:sz w:val="28"/>
          <w:szCs w:val="28"/>
        </w:rPr>
      </w:pPr>
      <w:r w:rsidRPr="002A394B">
        <w:rPr>
          <w:b/>
          <w:sz w:val="28"/>
          <w:szCs w:val="28"/>
        </w:rPr>
        <w:t>Колдонуу чɵйрɵсʏ:</w:t>
      </w:r>
      <w:r>
        <w:rPr>
          <w:sz w:val="28"/>
          <w:szCs w:val="28"/>
        </w:rPr>
        <w:t xml:space="preserve"> клиникалык фармакология, стоматология.</w:t>
      </w:r>
    </w:p>
    <w:p w:rsidR="002F679A" w:rsidRPr="004F45A0" w:rsidRDefault="002F679A" w:rsidP="002F679A">
      <w:pPr>
        <w:rPr>
          <w:sz w:val="28"/>
          <w:szCs w:val="28"/>
        </w:rPr>
      </w:pPr>
    </w:p>
    <w:p w:rsidR="002F679A" w:rsidRPr="004F45A0" w:rsidRDefault="002F679A" w:rsidP="002F679A">
      <w:pPr>
        <w:jc w:val="center"/>
        <w:rPr>
          <w:b/>
          <w:sz w:val="28"/>
          <w:szCs w:val="28"/>
        </w:rPr>
      </w:pPr>
    </w:p>
    <w:p w:rsidR="002F679A" w:rsidRPr="002F679A" w:rsidRDefault="002F679A" w:rsidP="007F0E89">
      <w:pPr>
        <w:ind w:firstLine="708"/>
        <w:jc w:val="both"/>
        <w:rPr>
          <w:sz w:val="28"/>
          <w:szCs w:val="28"/>
        </w:rPr>
      </w:pPr>
    </w:p>
    <w:p w:rsidR="002F679A" w:rsidRPr="00AA269C" w:rsidRDefault="002F679A" w:rsidP="007F0E89">
      <w:pPr>
        <w:ind w:firstLine="708"/>
        <w:jc w:val="both"/>
        <w:rPr>
          <w:sz w:val="28"/>
          <w:szCs w:val="28"/>
          <w:lang w:val="ky-KG"/>
        </w:rPr>
      </w:pPr>
    </w:p>
    <w:sectPr w:rsidR="002F679A" w:rsidRPr="00AA269C" w:rsidSect="00E301ED">
      <w:headerReference w:type="even" r:id="rId9"/>
      <w:headerReference w:type="default" r:id="rId10"/>
      <w:footerReference w:type="even" r:id="rId11"/>
      <w:footerReference w:type="default" r:id="rId12"/>
      <w:pgSz w:w="11906" w:h="16838" w:code="9"/>
      <w:pgMar w:top="1418" w:right="1134" w:bottom="1418"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ED3" w:rsidRDefault="00472ED3" w:rsidP="00D57DDD">
      <w:r>
        <w:separator/>
      </w:r>
    </w:p>
  </w:endnote>
  <w:endnote w:type="continuationSeparator" w:id="1">
    <w:p w:rsidR="00472ED3" w:rsidRDefault="00472ED3" w:rsidP="00D57D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791" w:rsidRDefault="00577791" w:rsidP="00E301ED">
    <w:pPr>
      <w:pStyle w:val="af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77791" w:rsidRDefault="00577791">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791" w:rsidRPr="00B548CF" w:rsidRDefault="00577791" w:rsidP="00E301ED">
    <w:pPr>
      <w:pStyle w:val="af3"/>
      <w:framePr w:wrap="around" w:vAnchor="text" w:hAnchor="margin" w:xAlign="center" w:y="1"/>
      <w:rPr>
        <w:rStyle w:val="aa"/>
        <w:sz w:val="28"/>
        <w:szCs w:val="28"/>
      </w:rPr>
    </w:pPr>
    <w:r w:rsidRPr="00B548CF">
      <w:rPr>
        <w:rStyle w:val="aa"/>
        <w:sz w:val="28"/>
        <w:szCs w:val="28"/>
      </w:rPr>
      <w:fldChar w:fldCharType="begin"/>
    </w:r>
    <w:r w:rsidRPr="00B548CF">
      <w:rPr>
        <w:rStyle w:val="aa"/>
        <w:sz w:val="28"/>
        <w:szCs w:val="28"/>
      </w:rPr>
      <w:instrText xml:space="preserve">PAGE  </w:instrText>
    </w:r>
    <w:r w:rsidRPr="00B548CF">
      <w:rPr>
        <w:rStyle w:val="aa"/>
        <w:sz w:val="28"/>
        <w:szCs w:val="28"/>
      </w:rPr>
      <w:fldChar w:fldCharType="separate"/>
    </w:r>
    <w:r w:rsidR="002F679A">
      <w:rPr>
        <w:rStyle w:val="aa"/>
        <w:noProof/>
        <w:sz w:val="28"/>
        <w:szCs w:val="28"/>
      </w:rPr>
      <w:t>27</w:t>
    </w:r>
    <w:r w:rsidRPr="00B548CF">
      <w:rPr>
        <w:rStyle w:val="aa"/>
        <w:sz w:val="28"/>
        <w:szCs w:val="28"/>
      </w:rPr>
      <w:fldChar w:fldCharType="end"/>
    </w:r>
  </w:p>
  <w:p w:rsidR="00577791" w:rsidRDefault="0057779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ED3" w:rsidRDefault="00472ED3" w:rsidP="00D57DDD">
      <w:r>
        <w:separator/>
      </w:r>
    </w:p>
  </w:footnote>
  <w:footnote w:type="continuationSeparator" w:id="1">
    <w:p w:rsidR="00472ED3" w:rsidRDefault="00472ED3" w:rsidP="00D57D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791" w:rsidRDefault="00577791" w:rsidP="00E301E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77791" w:rsidRDefault="0057779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791" w:rsidRDefault="00577791">
    <w:pPr>
      <w:pStyle w:val="a8"/>
    </w:pPr>
    <w:r>
      <w:t>о</w:t>
    </w:r>
  </w:p>
  <w:p w:rsidR="00577791" w:rsidRDefault="0057779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E67554"/>
    <w:lvl w:ilvl="0">
      <w:start w:val="1"/>
      <w:numFmt w:val="bullet"/>
      <w:pStyle w:val="a"/>
      <w:lvlText w:val=""/>
      <w:lvlJc w:val="left"/>
      <w:pPr>
        <w:tabs>
          <w:tab w:val="num" w:pos="360"/>
        </w:tabs>
        <w:ind w:left="360" w:hanging="360"/>
      </w:pPr>
      <w:rPr>
        <w:rFonts w:ascii="Symbol" w:hAnsi="Symbol" w:hint="default"/>
      </w:rPr>
    </w:lvl>
  </w:abstractNum>
  <w:abstractNum w:abstractNumId="1">
    <w:nsid w:val="0527586D"/>
    <w:multiLevelType w:val="hybridMultilevel"/>
    <w:tmpl w:val="25B60B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44A27"/>
    <w:multiLevelType w:val="hybridMultilevel"/>
    <w:tmpl w:val="D72892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20B452A"/>
    <w:multiLevelType w:val="hybridMultilevel"/>
    <w:tmpl w:val="01D47B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B78480E"/>
    <w:multiLevelType w:val="hybridMultilevel"/>
    <w:tmpl w:val="1DC2DED8"/>
    <w:lvl w:ilvl="0" w:tplc="26F86A7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3B0668"/>
    <w:multiLevelType w:val="multilevel"/>
    <w:tmpl w:val="CA60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560363"/>
    <w:multiLevelType w:val="hybridMultilevel"/>
    <w:tmpl w:val="1E585B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1DC320C"/>
    <w:multiLevelType w:val="hybridMultilevel"/>
    <w:tmpl w:val="D812A6C2"/>
    <w:lvl w:ilvl="0" w:tplc="87FA1E94">
      <w:start w:val="1"/>
      <w:numFmt w:val="bullet"/>
      <w:lvlText w:val=""/>
      <w:lvlJc w:val="left"/>
      <w:pPr>
        <w:tabs>
          <w:tab w:val="num" w:pos="1068"/>
        </w:tabs>
        <w:ind w:left="1068" w:hanging="360"/>
      </w:pPr>
      <w:rPr>
        <w:rFonts w:ascii="Symbol" w:hAnsi="Symbol" w:hint="default"/>
      </w:rPr>
    </w:lvl>
    <w:lvl w:ilvl="1" w:tplc="0419000F">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4760904"/>
    <w:multiLevelType w:val="hybridMultilevel"/>
    <w:tmpl w:val="1524504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635C13DC"/>
    <w:multiLevelType w:val="hybridMultilevel"/>
    <w:tmpl w:val="32EC0700"/>
    <w:lvl w:ilvl="0" w:tplc="26F86A7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2605C4"/>
    <w:multiLevelType w:val="hybridMultilevel"/>
    <w:tmpl w:val="CB5E54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3"/>
  </w:num>
  <w:num w:numId="3">
    <w:abstractNumId w:val="2"/>
  </w:num>
  <w:num w:numId="4">
    <w:abstractNumId w:val="7"/>
  </w:num>
  <w:num w:numId="5">
    <w:abstractNumId w:val="0"/>
  </w:num>
  <w:num w:numId="6">
    <w:abstractNumId w:val="1"/>
  </w:num>
  <w:num w:numId="7">
    <w:abstractNumId w:val="10"/>
  </w:num>
  <w:num w:numId="8">
    <w:abstractNumId w:val="8"/>
  </w:num>
  <w:num w:numId="9">
    <w:abstractNumId w:val="4"/>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254EE8"/>
    <w:rsid w:val="00105149"/>
    <w:rsid w:val="00113F5E"/>
    <w:rsid w:val="00254EE8"/>
    <w:rsid w:val="00280383"/>
    <w:rsid w:val="00281FA2"/>
    <w:rsid w:val="002F679A"/>
    <w:rsid w:val="004106FA"/>
    <w:rsid w:val="00472ED3"/>
    <w:rsid w:val="004777BC"/>
    <w:rsid w:val="00577791"/>
    <w:rsid w:val="00685D0E"/>
    <w:rsid w:val="007735B7"/>
    <w:rsid w:val="007841F8"/>
    <w:rsid w:val="007F0E89"/>
    <w:rsid w:val="00841EBD"/>
    <w:rsid w:val="00920F6F"/>
    <w:rsid w:val="009D7BC5"/>
    <w:rsid w:val="009E2E6E"/>
    <w:rsid w:val="00A77686"/>
    <w:rsid w:val="00AA269C"/>
    <w:rsid w:val="00B02CCB"/>
    <w:rsid w:val="00B03602"/>
    <w:rsid w:val="00B14618"/>
    <w:rsid w:val="00CC5089"/>
    <w:rsid w:val="00D57DDD"/>
    <w:rsid w:val="00D8789E"/>
    <w:rsid w:val="00DC1FA5"/>
    <w:rsid w:val="00E30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ne number"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4EE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54EE8"/>
    <w:pPr>
      <w:keepNext/>
      <w:jc w:val="center"/>
      <w:outlineLvl w:val="0"/>
    </w:pPr>
    <w:rPr>
      <w:b/>
      <w:bCs/>
    </w:rPr>
  </w:style>
  <w:style w:type="paragraph" w:styleId="2">
    <w:name w:val="heading 2"/>
    <w:basedOn w:val="a0"/>
    <w:next w:val="a0"/>
    <w:link w:val="20"/>
    <w:qFormat/>
    <w:rsid w:val="00254EE8"/>
    <w:pPr>
      <w:keepNext/>
      <w:spacing w:before="240" w:after="60"/>
      <w:outlineLvl w:val="1"/>
    </w:pPr>
    <w:rPr>
      <w:rFonts w:ascii="Cambria" w:hAnsi="Cambria"/>
      <w:b/>
      <w:bCs/>
      <w:i/>
      <w:iCs/>
      <w:sz w:val="28"/>
      <w:szCs w:val="28"/>
    </w:rPr>
  </w:style>
  <w:style w:type="paragraph" w:styleId="3">
    <w:name w:val="heading 3"/>
    <w:basedOn w:val="a0"/>
    <w:next w:val="a0"/>
    <w:link w:val="30"/>
    <w:qFormat/>
    <w:rsid w:val="00254EE8"/>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54EE8"/>
    <w:rPr>
      <w:rFonts w:ascii="Times New Roman" w:eastAsia="Times New Roman" w:hAnsi="Times New Roman" w:cs="Times New Roman"/>
      <w:b/>
      <w:bCs/>
      <w:sz w:val="24"/>
      <w:szCs w:val="24"/>
    </w:rPr>
  </w:style>
  <w:style w:type="character" w:customStyle="1" w:styleId="20">
    <w:name w:val="Заголовок 2 Знак"/>
    <w:basedOn w:val="a1"/>
    <w:link w:val="2"/>
    <w:rsid w:val="00254EE8"/>
    <w:rPr>
      <w:rFonts w:ascii="Cambria" w:eastAsia="Times New Roman" w:hAnsi="Cambria" w:cs="Times New Roman"/>
      <w:b/>
      <w:bCs/>
      <w:i/>
      <w:iCs/>
      <w:sz w:val="28"/>
      <w:szCs w:val="28"/>
    </w:rPr>
  </w:style>
  <w:style w:type="character" w:customStyle="1" w:styleId="30">
    <w:name w:val="Заголовок 3 Знак"/>
    <w:basedOn w:val="a1"/>
    <w:link w:val="3"/>
    <w:rsid w:val="00254EE8"/>
    <w:rPr>
      <w:rFonts w:ascii="Cambria" w:eastAsia="Times New Roman" w:hAnsi="Cambria" w:cs="Times New Roman"/>
      <w:b/>
      <w:bCs/>
      <w:sz w:val="26"/>
      <w:szCs w:val="26"/>
    </w:rPr>
  </w:style>
  <w:style w:type="paragraph" w:styleId="a4">
    <w:name w:val="Body Text"/>
    <w:basedOn w:val="a0"/>
    <w:link w:val="a5"/>
    <w:rsid w:val="00254EE8"/>
    <w:pPr>
      <w:spacing w:after="120"/>
    </w:pPr>
  </w:style>
  <w:style w:type="character" w:customStyle="1" w:styleId="a5">
    <w:name w:val="Основной текст Знак"/>
    <w:basedOn w:val="a1"/>
    <w:link w:val="a4"/>
    <w:rsid w:val="00254EE8"/>
    <w:rPr>
      <w:rFonts w:ascii="Times New Roman" w:eastAsia="Times New Roman" w:hAnsi="Times New Roman" w:cs="Times New Roman"/>
      <w:sz w:val="24"/>
      <w:szCs w:val="24"/>
      <w:lang w:eastAsia="ru-RU"/>
    </w:rPr>
  </w:style>
  <w:style w:type="paragraph" w:styleId="a6">
    <w:name w:val="Normal (Web)"/>
    <w:basedOn w:val="a0"/>
    <w:uiPriority w:val="99"/>
    <w:rsid w:val="00254EE8"/>
    <w:pPr>
      <w:spacing w:before="84"/>
    </w:pPr>
    <w:rPr>
      <w:rFonts w:ascii="Tahoma" w:hAnsi="Tahoma" w:cs="Tahoma"/>
      <w:color w:val="000000"/>
      <w:sz w:val="16"/>
      <w:szCs w:val="16"/>
    </w:rPr>
  </w:style>
  <w:style w:type="paragraph" w:styleId="a7">
    <w:name w:val="List Paragraph"/>
    <w:basedOn w:val="a0"/>
    <w:qFormat/>
    <w:rsid w:val="00254EE8"/>
    <w:pPr>
      <w:ind w:left="720"/>
      <w:contextualSpacing/>
    </w:pPr>
  </w:style>
  <w:style w:type="paragraph" w:styleId="a8">
    <w:name w:val="header"/>
    <w:basedOn w:val="a0"/>
    <w:link w:val="a9"/>
    <w:uiPriority w:val="99"/>
    <w:rsid w:val="00254EE8"/>
    <w:pPr>
      <w:tabs>
        <w:tab w:val="center" w:pos="4677"/>
        <w:tab w:val="right" w:pos="9355"/>
      </w:tabs>
    </w:pPr>
  </w:style>
  <w:style w:type="character" w:customStyle="1" w:styleId="a9">
    <w:name w:val="Верхний колонтитул Знак"/>
    <w:basedOn w:val="a1"/>
    <w:link w:val="a8"/>
    <w:uiPriority w:val="99"/>
    <w:rsid w:val="00254EE8"/>
    <w:rPr>
      <w:rFonts w:ascii="Times New Roman" w:eastAsia="Times New Roman" w:hAnsi="Times New Roman" w:cs="Times New Roman"/>
      <w:sz w:val="24"/>
      <w:szCs w:val="24"/>
    </w:rPr>
  </w:style>
  <w:style w:type="character" w:styleId="HTML">
    <w:name w:val="HTML Cite"/>
    <w:unhideWhenUsed/>
    <w:rsid w:val="00254EE8"/>
    <w:rPr>
      <w:i/>
      <w:iCs/>
    </w:rPr>
  </w:style>
  <w:style w:type="character" w:styleId="aa">
    <w:name w:val="page number"/>
    <w:basedOn w:val="a1"/>
    <w:rsid w:val="00254EE8"/>
  </w:style>
  <w:style w:type="paragraph" w:styleId="ab">
    <w:name w:val="Plain Text"/>
    <w:basedOn w:val="a0"/>
    <w:link w:val="ac"/>
    <w:rsid w:val="00254EE8"/>
    <w:rPr>
      <w:rFonts w:ascii="Courier New" w:hAnsi="Courier New"/>
      <w:sz w:val="20"/>
      <w:szCs w:val="20"/>
    </w:rPr>
  </w:style>
  <w:style w:type="character" w:customStyle="1" w:styleId="ac">
    <w:name w:val="Текст Знак"/>
    <w:basedOn w:val="a1"/>
    <w:link w:val="ab"/>
    <w:rsid w:val="00254EE8"/>
    <w:rPr>
      <w:rFonts w:ascii="Courier New" w:eastAsia="Times New Roman" w:hAnsi="Courier New" w:cs="Times New Roman"/>
      <w:sz w:val="20"/>
      <w:szCs w:val="20"/>
    </w:rPr>
  </w:style>
  <w:style w:type="paragraph" w:customStyle="1" w:styleId="ecxmsonormal">
    <w:name w:val="ecxmsonormal"/>
    <w:basedOn w:val="a0"/>
    <w:rsid w:val="00254EE8"/>
    <w:pPr>
      <w:spacing w:after="324"/>
    </w:pPr>
  </w:style>
  <w:style w:type="character" w:styleId="ad">
    <w:name w:val="line number"/>
    <w:basedOn w:val="a1"/>
    <w:rsid w:val="00254EE8"/>
  </w:style>
  <w:style w:type="paragraph" w:customStyle="1" w:styleId="11">
    <w:name w:val="Обычный1"/>
    <w:rsid w:val="00254EE8"/>
    <w:pPr>
      <w:widowControl w:val="0"/>
      <w:snapToGrid w:val="0"/>
      <w:spacing w:after="0" w:line="240" w:lineRule="auto"/>
    </w:pPr>
    <w:rPr>
      <w:rFonts w:ascii="Times New Roman" w:eastAsia="Times New Roman" w:hAnsi="Times New Roman" w:cs="Times New Roman"/>
      <w:i/>
      <w:sz w:val="20"/>
      <w:szCs w:val="20"/>
      <w:lang w:eastAsia="ru-RU"/>
    </w:rPr>
  </w:style>
  <w:style w:type="character" w:customStyle="1" w:styleId="s3">
    <w:name w:val="s3"/>
    <w:rsid w:val="00254EE8"/>
    <w:rPr>
      <w:rFonts w:ascii="Times New Roman(K)" w:hAnsi="Times New Roman(K)" w:cs="Times New Roman" w:hint="default"/>
      <w:b w:val="0"/>
      <w:bCs w:val="0"/>
      <w:i/>
      <w:iCs/>
      <w:strike w:val="0"/>
      <w:dstrike w:val="0"/>
      <w:color w:val="FF0000"/>
      <w:sz w:val="20"/>
      <w:szCs w:val="20"/>
      <w:u w:val="none"/>
      <w:effect w:val="none"/>
    </w:rPr>
  </w:style>
  <w:style w:type="character" w:styleId="ae">
    <w:name w:val="Hyperlink"/>
    <w:rsid w:val="00254EE8"/>
    <w:rPr>
      <w:color w:val="0000FF"/>
      <w:u w:val="single"/>
    </w:rPr>
  </w:style>
  <w:style w:type="character" w:customStyle="1" w:styleId="text">
    <w:name w:val="text"/>
    <w:basedOn w:val="a1"/>
    <w:rsid w:val="00254EE8"/>
  </w:style>
  <w:style w:type="character" w:customStyle="1" w:styleId="spelle">
    <w:name w:val="spelle"/>
    <w:basedOn w:val="a1"/>
    <w:rsid w:val="00254EE8"/>
  </w:style>
  <w:style w:type="character" w:customStyle="1" w:styleId="grame">
    <w:name w:val="grame"/>
    <w:basedOn w:val="a1"/>
    <w:rsid w:val="00254EE8"/>
  </w:style>
  <w:style w:type="character" w:customStyle="1" w:styleId="contentplaceholder1axlabel-1">
    <w:name w:val="contentplaceholder1_axlabel-1"/>
    <w:basedOn w:val="a1"/>
    <w:rsid w:val="00254EE8"/>
  </w:style>
  <w:style w:type="character" w:customStyle="1" w:styleId="zag1">
    <w:name w:val="zag1"/>
    <w:rsid w:val="00254EE8"/>
    <w:rPr>
      <w:rFonts w:ascii="Arial" w:hAnsi="Arial" w:cs="Arial" w:hint="default"/>
      <w:sz w:val="36"/>
      <w:szCs w:val="36"/>
    </w:rPr>
  </w:style>
  <w:style w:type="character" w:styleId="af">
    <w:name w:val="Strong"/>
    <w:uiPriority w:val="22"/>
    <w:qFormat/>
    <w:rsid w:val="00254EE8"/>
    <w:rPr>
      <w:b/>
      <w:bCs/>
    </w:rPr>
  </w:style>
  <w:style w:type="paragraph" w:customStyle="1" w:styleId="21">
    <w:name w:val="Обычный2"/>
    <w:rsid w:val="00254EE8"/>
    <w:pPr>
      <w:spacing w:after="0" w:line="240" w:lineRule="auto"/>
    </w:pPr>
    <w:rPr>
      <w:rFonts w:ascii="Times New Roman" w:eastAsia="Times New Roman" w:hAnsi="Times New Roman" w:cs="Times New Roman"/>
      <w:snapToGrid w:val="0"/>
      <w:sz w:val="20"/>
      <w:szCs w:val="20"/>
      <w:lang w:eastAsia="ru-RU"/>
    </w:rPr>
  </w:style>
  <w:style w:type="character" w:customStyle="1" w:styleId="mw-headline">
    <w:name w:val="mw-headline"/>
    <w:basedOn w:val="a1"/>
    <w:rsid w:val="00254EE8"/>
  </w:style>
  <w:style w:type="character" w:customStyle="1" w:styleId="editsection">
    <w:name w:val="editsection"/>
    <w:basedOn w:val="a1"/>
    <w:rsid w:val="00254EE8"/>
  </w:style>
  <w:style w:type="character" w:customStyle="1" w:styleId="citation">
    <w:name w:val="citation"/>
    <w:basedOn w:val="a1"/>
    <w:rsid w:val="00254EE8"/>
  </w:style>
  <w:style w:type="paragraph" w:styleId="HTML0">
    <w:name w:val="HTML Preformatted"/>
    <w:basedOn w:val="a0"/>
    <w:link w:val="HTML1"/>
    <w:rsid w:val="00254EE8"/>
    <w:rPr>
      <w:rFonts w:ascii="Courier New" w:hAnsi="Courier New"/>
      <w:sz w:val="20"/>
      <w:szCs w:val="20"/>
    </w:rPr>
  </w:style>
  <w:style w:type="character" w:customStyle="1" w:styleId="HTML1">
    <w:name w:val="Стандартный HTML Знак"/>
    <w:basedOn w:val="a1"/>
    <w:link w:val="HTML0"/>
    <w:rsid w:val="00254EE8"/>
    <w:rPr>
      <w:rFonts w:ascii="Courier New" w:eastAsia="Times New Roman" w:hAnsi="Courier New" w:cs="Times New Roman"/>
      <w:sz w:val="20"/>
      <w:szCs w:val="20"/>
    </w:rPr>
  </w:style>
  <w:style w:type="character" w:customStyle="1" w:styleId="bc">
    <w:name w:val="bc"/>
    <w:rsid w:val="00254EE8"/>
  </w:style>
  <w:style w:type="character" w:styleId="af0">
    <w:name w:val="Emphasis"/>
    <w:qFormat/>
    <w:rsid w:val="00254EE8"/>
    <w:rPr>
      <w:i/>
      <w:iCs/>
    </w:rPr>
  </w:style>
  <w:style w:type="paragraph" w:customStyle="1" w:styleId="210">
    <w:name w:val="Основной текст 21"/>
    <w:rsid w:val="00254EE8"/>
    <w:pPr>
      <w:spacing w:after="0" w:line="240" w:lineRule="auto"/>
      <w:jc w:val="both"/>
    </w:pPr>
    <w:rPr>
      <w:rFonts w:ascii="Times New Roman" w:eastAsia="Times New Roman" w:hAnsi="Times New Roman" w:cs="Times New Roman"/>
      <w:sz w:val="28"/>
      <w:szCs w:val="20"/>
      <w:lang w:val="en-US" w:eastAsia="ru-RU"/>
    </w:rPr>
  </w:style>
  <w:style w:type="paragraph" w:styleId="af1">
    <w:name w:val="Body Text Indent"/>
    <w:basedOn w:val="a0"/>
    <w:link w:val="af2"/>
    <w:rsid w:val="00254EE8"/>
    <w:pPr>
      <w:spacing w:after="120"/>
      <w:ind w:left="283"/>
    </w:pPr>
  </w:style>
  <w:style w:type="character" w:customStyle="1" w:styleId="af2">
    <w:name w:val="Основной текст с отступом Знак"/>
    <w:basedOn w:val="a1"/>
    <w:link w:val="af1"/>
    <w:rsid w:val="00254EE8"/>
    <w:rPr>
      <w:rFonts w:ascii="Times New Roman" w:eastAsia="Times New Roman" w:hAnsi="Times New Roman" w:cs="Times New Roman"/>
      <w:sz w:val="24"/>
      <w:szCs w:val="24"/>
    </w:rPr>
  </w:style>
  <w:style w:type="character" w:customStyle="1" w:styleId="ei1">
    <w:name w:val="ei1"/>
    <w:basedOn w:val="a1"/>
    <w:rsid w:val="00254EE8"/>
  </w:style>
  <w:style w:type="character" w:customStyle="1" w:styleId="apple-style-span">
    <w:name w:val="apple-style-span"/>
    <w:basedOn w:val="a1"/>
    <w:rsid w:val="00254EE8"/>
  </w:style>
  <w:style w:type="character" w:customStyle="1" w:styleId="apple-converted-space">
    <w:name w:val="apple-converted-space"/>
    <w:basedOn w:val="a1"/>
    <w:rsid w:val="00254EE8"/>
  </w:style>
  <w:style w:type="paragraph" w:styleId="22">
    <w:name w:val="Body Text Indent 2"/>
    <w:basedOn w:val="a0"/>
    <w:link w:val="23"/>
    <w:rsid w:val="00254EE8"/>
    <w:pPr>
      <w:spacing w:after="120" w:line="480" w:lineRule="auto"/>
      <w:ind w:left="283"/>
    </w:pPr>
  </w:style>
  <w:style w:type="character" w:customStyle="1" w:styleId="23">
    <w:name w:val="Основной текст с отступом 2 Знак"/>
    <w:basedOn w:val="a1"/>
    <w:link w:val="22"/>
    <w:rsid w:val="00254EE8"/>
    <w:rPr>
      <w:rFonts w:ascii="Times New Roman" w:eastAsia="Times New Roman" w:hAnsi="Times New Roman" w:cs="Times New Roman"/>
      <w:sz w:val="24"/>
      <w:szCs w:val="24"/>
    </w:rPr>
  </w:style>
  <w:style w:type="paragraph" w:styleId="24">
    <w:name w:val="Body Text 2"/>
    <w:basedOn w:val="a0"/>
    <w:link w:val="25"/>
    <w:rsid w:val="00254EE8"/>
    <w:pPr>
      <w:spacing w:after="120" w:line="480" w:lineRule="auto"/>
    </w:pPr>
  </w:style>
  <w:style w:type="character" w:customStyle="1" w:styleId="25">
    <w:name w:val="Основной текст 2 Знак"/>
    <w:basedOn w:val="a1"/>
    <w:link w:val="24"/>
    <w:rsid w:val="00254EE8"/>
    <w:rPr>
      <w:rFonts w:ascii="Times New Roman" w:eastAsia="Times New Roman" w:hAnsi="Times New Roman" w:cs="Times New Roman"/>
      <w:sz w:val="24"/>
      <w:szCs w:val="24"/>
    </w:rPr>
  </w:style>
  <w:style w:type="paragraph" w:styleId="af3">
    <w:name w:val="footer"/>
    <w:basedOn w:val="a0"/>
    <w:link w:val="af4"/>
    <w:rsid w:val="00254EE8"/>
    <w:pPr>
      <w:tabs>
        <w:tab w:val="center" w:pos="4677"/>
        <w:tab w:val="right" w:pos="9355"/>
      </w:tabs>
    </w:pPr>
  </w:style>
  <w:style w:type="character" w:customStyle="1" w:styleId="af4">
    <w:name w:val="Нижний колонтитул Знак"/>
    <w:basedOn w:val="a1"/>
    <w:link w:val="af3"/>
    <w:rsid w:val="00254EE8"/>
    <w:rPr>
      <w:rFonts w:ascii="Times New Roman" w:eastAsia="Times New Roman" w:hAnsi="Times New Roman" w:cs="Times New Roman"/>
      <w:sz w:val="24"/>
      <w:szCs w:val="24"/>
      <w:lang w:eastAsia="ru-RU"/>
    </w:rPr>
  </w:style>
  <w:style w:type="paragraph" w:styleId="af5">
    <w:name w:val="Body Text First Indent"/>
    <w:basedOn w:val="a4"/>
    <w:link w:val="af6"/>
    <w:rsid w:val="00254EE8"/>
    <w:pPr>
      <w:ind w:firstLine="210"/>
    </w:pPr>
  </w:style>
  <w:style w:type="character" w:customStyle="1" w:styleId="af6">
    <w:name w:val="Красная строка Знак"/>
    <w:basedOn w:val="a5"/>
    <w:link w:val="af5"/>
    <w:rsid w:val="00254EE8"/>
  </w:style>
  <w:style w:type="paragraph" w:styleId="a">
    <w:name w:val="List Bullet"/>
    <w:basedOn w:val="a0"/>
    <w:rsid w:val="00254EE8"/>
    <w:pPr>
      <w:numPr>
        <w:numId w:val="5"/>
      </w:numPr>
    </w:pPr>
  </w:style>
  <w:style w:type="table" w:styleId="af7">
    <w:name w:val="Table Grid"/>
    <w:basedOn w:val="a2"/>
    <w:rsid w:val="00254EE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Balloon Text"/>
    <w:basedOn w:val="a0"/>
    <w:link w:val="af9"/>
    <w:rsid w:val="00254EE8"/>
    <w:rPr>
      <w:rFonts w:ascii="Tahoma" w:hAnsi="Tahoma" w:cs="Tahoma"/>
      <w:sz w:val="16"/>
      <w:szCs w:val="16"/>
    </w:rPr>
  </w:style>
  <w:style w:type="character" w:customStyle="1" w:styleId="af9">
    <w:name w:val="Текст выноски Знак"/>
    <w:basedOn w:val="a1"/>
    <w:link w:val="af8"/>
    <w:rsid w:val="00254EE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DD4F8-5FE1-488F-8323-D2DE31AE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27</Pages>
  <Words>9070</Words>
  <Characters>51701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tttt</dc:creator>
  <cp:lastModifiedBy>ПК</cp:lastModifiedBy>
  <cp:revision>7</cp:revision>
  <dcterms:created xsi:type="dcterms:W3CDTF">2015-05-12T18:57:00Z</dcterms:created>
  <dcterms:modified xsi:type="dcterms:W3CDTF">2015-05-13T14:33:00Z</dcterms:modified>
</cp:coreProperties>
</file>