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E8" w:rsidRPr="00E75DE8" w:rsidRDefault="00E75DE8" w:rsidP="00E75DE8">
      <w:pPr>
        <w:spacing w:after="0" w:line="240" w:lineRule="auto"/>
        <w:jc w:val="center"/>
        <w:rPr>
          <w:rFonts w:ascii="Times New Roman" w:hAnsi="Times New Roman" w:cs="Times New Roman"/>
          <w:b/>
          <w:sz w:val="28"/>
          <w:szCs w:val="28"/>
        </w:rPr>
      </w:pPr>
      <w:bookmarkStart w:id="0" w:name="_GoBack"/>
      <w:bookmarkEnd w:id="0"/>
      <w:r w:rsidRPr="00E75DE8">
        <w:rPr>
          <w:rFonts w:ascii="Times New Roman" w:hAnsi="Times New Roman" w:cs="Times New Roman"/>
          <w:b/>
          <w:sz w:val="28"/>
          <w:szCs w:val="28"/>
        </w:rPr>
        <w:t>КЫРГЫЗСКАЯ ГОСУДАРСТВЕННАЯ МЕДИЦИНСКАЯ АКАДЕМИЯ</w:t>
      </w:r>
    </w:p>
    <w:p w:rsidR="00E75DE8" w:rsidRPr="00E75DE8" w:rsidRDefault="00E75DE8" w:rsidP="00E75DE8">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им. И. К. АХУНБАЕВА</w:t>
      </w:r>
    </w:p>
    <w:p w:rsidR="00E75DE8" w:rsidRPr="00E75DE8" w:rsidRDefault="00E75DE8" w:rsidP="00E75DE8">
      <w:pPr>
        <w:spacing w:after="0" w:line="240" w:lineRule="auto"/>
        <w:jc w:val="center"/>
        <w:rPr>
          <w:rFonts w:ascii="Times New Roman" w:hAnsi="Times New Roman" w:cs="Times New Roman"/>
          <w:b/>
          <w:sz w:val="28"/>
          <w:szCs w:val="28"/>
        </w:rPr>
      </w:pPr>
    </w:p>
    <w:p w:rsidR="00E75DE8" w:rsidRPr="00E75DE8" w:rsidRDefault="00E75DE8" w:rsidP="00E75DE8">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ОШСКИЙ ГОСУДАРСТВЕННЫЙ УНИВЕРСИТЕТ</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470CFB" w:rsidP="00E75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Диссертационный совет Д 14</w:t>
      </w:r>
      <w:r w:rsidR="00E75DE8" w:rsidRPr="00E75DE8">
        <w:rPr>
          <w:rFonts w:ascii="Times New Roman" w:hAnsi="Times New Roman" w:cs="Times New Roman"/>
          <w:sz w:val="28"/>
          <w:szCs w:val="28"/>
        </w:rPr>
        <w:t>.23.691</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right"/>
        <w:rPr>
          <w:rFonts w:ascii="Times New Roman" w:hAnsi="Times New Roman" w:cs="Times New Roman"/>
          <w:sz w:val="28"/>
          <w:szCs w:val="28"/>
        </w:rPr>
      </w:pPr>
      <w:r w:rsidRPr="00E75DE8">
        <w:rPr>
          <w:rFonts w:ascii="Times New Roman" w:hAnsi="Times New Roman" w:cs="Times New Roman"/>
          <w:sz w:val="28"/>
          <w:szCs w:val="28"/>
        </w:rPr>
        <w:t>На правах рукописи</w:t>
      </w:r>
    </w:p>
    <w:p w:rsidR="00E75DE8" w:rsidRPr="00E75DE8" w:rsidRDefault="00E75DE8" w:rsidP="00E75DE8">
      <w:pPr>
        <w:spacing w:after="0" w:line="240" w:lineRule="auto"/>
        <w:jc w:val="right"/>
        <w:rPr>
          <w:rFonts w:ascii="Times New Roman" w:hAnsi="Times New Roman" w:cs="Times New Roman"/>
          <w:b/>
          <w:sz w:val="28"/>
          <w:szCs w:val="28"/>
        </w:rPr>
      </w:pPr>
      <w:r w:rsidRPr="00E75DE8">
        <w:rPr>
          <w:rFonts w:ascii="Times New Roman" w:hAnsi="Times New Roman" w:cs="Times New Roman"/>
          <w:b/>
          <w:sz w:val="28"/>
          <w:szCs w:val="28"/>
        </w:rPr>
        <w:t>УДК</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ТОПЧУБАЕВА ЭЛИДА ТАИРОВНА</w:t>
      </w:r>
    </w:p>
    <w:p w:rsidR="00E75DE8" w:rsidRPr="00E75DE8" w:rsidRDefault="00E75DE8" w:rsidP="00E75DE8">
      <w:pPr>
        <w:spacing w:after="0" w:line="240" w:lineRule="auto"/>
        <w:jc w:val="center"/>
        <w:rPr>
          <w:rFonts w:ascii="Times New Roman" w:hAnsi="Times New Roman" w:cs="Times New Roman"/>
          <w:b/>
          <w:sz w:val="28"/>
          <w:szCs w:val="28"/>
        </w:rPr>
      </w:pPr>
    </w:p>
    <w:p w:rsidR="00E75DE8" w:rsidRPr="00E75DE8" w:rsidRDefault="00E75DE8" w:rsidP="00E75DE8">
      <w:pPr>
        <w:spacing w:after="0" w:line="240" w:lineRule="auto"/>
        <w:jc w:val="center"/>
        <w:rPr>
          <w:rFonts w:ascii="Times New Roman" w:hAnsi="Times New Roman" w:cs="Times New Roman"/>
          <w:b/>
          <w:sz w:val="28"/>
          <w:szCs w:val="28"/>
        </w:rPr>
      </w:pPr>
    </w:p>
    <w:p w:rsidR="00E75DE8" w:rsidRPr="00E75DE8" w:rsidRDefault="00E75DE8" w:rsidP="002F39FF">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ВЛИЯНИЕ ТЕХНОГЕННОГО ЗАГРЯЗНЕНИЯ АТМОСФЕРНОГО ВОЗДУХА  НА ОСНОВНЫЕ ПАТОГЕНЕТИЧЕСКИЕ МЕХАНИЗМЫ ЗАБОЛЕВАНИЙ РЕСП</w:t>
      </w:r>
      <w:r w:rsidR="00F20843">
        <w:rPr>
          <w:rFonts w:ascii="Times New Roman" w:hAnsi="Times New Roman" w:cs="Times New Roman"/>
          <w:b/>
          <w:sz w:val="28"/>
          <w:szCs w:val="28"/>
        </w:rPr>
        <w:t>И</w:t>
      </w:r>
      <w:r w:rsidRPr="00E75DE8">
        <w:rPr>
          <w:rFonts w:ascii="Times New Roman" w:hAnsi="Times New Roman" w:cs="Times New Roman"/>
          <w:b/>
          <w:sz w:val="28"/>
          <w:szCs w:val="28"/>
        </w:rPr>
        <w:t>РАТОРНОЙ СИ</w:t>
      </w:r>
      <w:r w:rsidR="001162E3">
        <w:rPr>
          <w:rFonts w:ascii="Times New Roman" w:hAnsi="Times New Roman" w:cs="Times New Roman"/>
          <w:b/>
          <w:sz w:val="28"/>
          <w:szCs w:val="28"/>
        </w:rPr>
        <w:t>С</w:t>
      </w:r>
      <w:r w:rsidRPr="00E75DE8">
        <w:rPr>
          <w:rFonts w:ascii="Times New Roman" w:hAnsi="Times New Roman" w:cs="Times New Roman"/>
          <w:b/>
          <w:sz w:val="28"/>
          <w:szCs w:val="28"/>
        </w:rPr>
        <w:t>ТЕМЫ</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14.03.03 - патологическая физиология</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Автореферат</w:t>
      </w:r>
    </w:p>
    <w:p w:rsidR="00E75DE8" w:rsidRPr="00E75DE8" w:rsidRDefault="00E75DE8" w:rsidP="00E75DE8">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диссертации на соискание ученой</w:t>
      </w:r>
    </w:p>
    <w:p w:rsidR="00E75DE8" w:rsidRPr="00E75DE8" w:rsidRDefault="00E75DE8" w:rsidP="00E75DE8">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степени кандидата медицинских наук</w:t>
      </w: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sz w:val="28"/>
          <w:szCs w:val="28"/>
        </w:rPr>
      </w:pPr>
    </w:p>
    <w:p w:rsidR="00E75DE8" w:rsidRDefault="00E75DE8" w:rsidP="00E75DE8">
      <w:pPr>
        <w:spacing w:after="0" w:line="240" w:lineRule="auto"/>
        <w:jc w:val="center"/>
        <w:rPr>
          <w:rFonts w:ascii="Times New Roman" w:hAnsi="Times New Roman" w:cs="Times New Roman"/>
          <w:sz w:val="28"/>
          <w:szCs w:val="28"/>
        </w:rPr>
      </w:pPr>
    </w:p>
    <w:p w:rsidR="007B6E3A" w:rsidRPr="00E75DE8" w:rsidRDefault="007B6E3A" w:rsidP="00E75DE8">
      <w:pPr>
        <w:spacing w:after="0" w:line="240" w:lineRule="auto"/>
        <w:jc w:val="center"/>
        <w:rPr>
          <w:rFonts w:ascii="Times New Roman" w:hAnsi="Times New Roman" w:cs="Times New Roman"/>
          <w:sz w:val="28"/>
          <w:szCs w:val="28"/>
        </w:rPr>
      </w:pPr>
    </w:p>
    <w:p w:rsidR="00E75DE8" w:rsidRPr="00E75DE8" w:rsidRDefault="00E75DE8" w:rsidP="00E75DE8">
      <w:pPr>
        <w:spacing w:after="0" w:line="240" w:lineRule="auto"/>
        <w:jc w:val="center"/>
        <w:rPr>
          <w:rFonts w:ascii="Times New Roman" w:hAnsi="Times New Roman" w:cs="Times New Roman"/>
          <w:b/>
          <w:sz w:val="28"/>
          <w:szCs w:val="28"/>
        </w:rPr>
      </w:pPr>
      <w:r w:rsidRPr="00E75DE8">
        <w:rPr>
          <w:rFonts w:ascii="Times New Roman" w:hAnsi="Times New Roman" w:cs="Times New Roman"/>
          <w:b/>
          <w:sz w:val="28"/>
          <w:szCs w:val="28"/>
        </w:rPr>
        <w:t>Бишкек – 2024</w:t>
      </w:r>
    </w:p>
    <w:p w:rsidR="00E75DE8" w:rsidRP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Работа выполнена на кафедре  общей, клинической биохимии и патофизиологии медицинского факультета Ошского государственного университета. </w:t>
      </w:r>
    </w:p>
    <w:p w:rsidR="00E75DE8" w:rsidRPr="00E75DE8" w:rsidRDefault="00E75DE8" w:rsidP="00E75DE8">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E75DE8" w:rsidTr="00E75DE8">
        <w:tc>
          <w:tcPr>
            <w:tcW w:w="3794" w:type="dxa"/>
          </w:tcPr>
          <w:p w:rsidR="00E75DE8" w:rsidRPr="00E75DE8" w:rsidRDefault="00E75DE8" w:rsidP="00E75DE8">
            <w:pPr>
              <w:jc w:val="both"/>
              <w:rPr>
                <w:rFonts w:ascii="Times New Roman" w:hAnsi="Times New Roman" w:cs="Times New Roman"/>
                <w:b/>
                <w:sz w:val="28"/>
                <w:szCs w:val="28"/>
              </w:rPr>
            </w:pPr>
            <w:r w:rsidRPr="00E75DE8">
              <w:rPr>
                <w:rFonts w:ascii="Times New Roman" w:hAnsi="Times New Roman" w:cs="Times New Roman"/>
                <w:b/>
                <w:sz w:val="28"/>
                <w:szCs w:val="28"/>
              </w:rPr>
              <w:t>Научный руководитель:</w:t>
            </w:r>
          </w:p>
        </w:tc>
        <w:tc>
          <w:tcPr>
            <w:tcW w:w="5777" w:type="dxa"/>
          </w:tcPr>
          <w:p w:rsidR="00E75DE8" w:rsidRPr="00E75DE8" w:rsidRDefault="00E75DE8" w:rsidP="00E75DE8">
            <w:pPr>
              <w:jc w:val="both"/>
              <w:rPr>
                <w:rFonts w:ascii="Times New Roman" w:hAnsi="Times New Roman" w:cs="Times New Roman"/>
                <w:sz w:val="28"/>
                <w:szCs w:val="28"/>
              </w:rPr>
            </w:pPr>
            <w:r w:rsidRPr="00E75DE8">
              <w:rPr>
                <w:rFonts w:ascii="Times New Roman" w:hAnsi="Times New Roman" w:cs="Times New Roman"/>
                <w:sz w:val="28"/>
                <w:szCs w:val="28"/>
              </w:rPr>
              <w:t>Калматов Романбек Калматович</w:t>
            </w:r>
            <w:r w:rsidRPr="00E75DE8">
              <w:rPr>
                <w:rFonts w:ascii="Times New Roman" w:hAnsi="Times New Roman" w:cs="Times New Roman"/>
                <w:sz w:val="28"/>
                <w:szCs w:val="28"/>
              </w:rPr>
              <w:tab/>
            </w:r>
            <w:r w:rsidRPr="00E75DE8">
              <w:rPr>
                <w:rFonts w:ascii="Times New Roman" w:hAnsi="Times New Roman" w:cs="Times New Roman"/>
                <w:sz w:val="28"/>
                <w:szCs w:val="28"/>
              </w:rPr>
              <w:tab/>
            </w:r>
          </w:p>
          <w:p w:rsidR="002F39FF" w:rsidRPr="00E75DE8" w:rsidRDefault="002F39FF" w:rsidP="002F39FF">
            <w:pPr>
              <w:jc w:val="both"/>
              <w:rPr>
                <w:rFonts w:ascii="Times New Roman" w:hAnsi="Times New Roman" w:cs="Times New Roman"/>
                <w:sz w:val="28"/>
                <w:szCs w:val="28"/>
              </w:rPr>
            </w:pPr>
            <w:r>
              <w:rPr>
                <w:rFonts w:ascii="Times New Roman" w:hAnsi="Times New Roman" w:cs="Times New Roman"/>
                <w:sz w:val="28"/>
                <w:szCs w:val="28"/>
              </w:rPr>
              <w:t>доктор   медицинских  наук,и.о.профессор</w:t>
            </w:r>
          </w:p>
          <w:p w:rsidR="00E75DE8" w:rsidRPr="00E75DE8" w:rsidRDefault="00E75DE8" w:rsidP="00E75DE8">
            <w:pPr>
              <w:jc w:val="both"/>
              <w:rPr>
                <w:rFonts w:ascii="Times New Roman" w:hAnsi="Times New Roman" w:cs="Times New Roman"/>
                <w:sz w:val="28"/>
                <w:szCs w:val="28"/>
              </w:rPr>
            </w:pPr>
            <w:r w:rsidRPr="00E75DE8">
              <w:rPr>
                <w:rFonts w:ascii="Times New Roman" w:hAnsi="Times New Roman" w:cs="Times New Roman"/>
                <w:sz w:val="28"/>
                <w:szCs w:val="28"/>
              </w:rPr>
              <w:t>Ош</w:t>
            </w:r>
            <w:r>
              <w:rPr>
                <w:rFonts w:ascii="Times New Roman" w:hAnsi="Times New Roman" w:cs="Times New Roman"/>
                <w:sz w:val="28"/>
                <w:szCs w:val="28"/>
              </w:rPr>
              <w:t>ского государственного университета</w:t>
            </w:r>
          </w:p>
          <w:p w:rsidR="00E75DE8" w:rsidRDefault="00E75DE8" w:rsidP="00E75DE8">
            <w:pPr>
              <w:jc w:val="both"/>
              <w:rPr>
                <w:rFonts w:ascii="Times New Roman" w:hAnsi="Times New Roman" w:cs="Times New Roman"/>
                <w:sz w:val="28"/>
                <w:szCs w:val="28"/>
              </w:rPr>
            </w:pPr>
          </w:p>
        </w:tc>
      </w:tr>
      <w:tr w:rsidR="00E75DE8" w:rsidTr="00E75DE8">
        <w:tc>
          <w:tcPr>
            <w:tcW w:w="3794" w:type="dxa"/>
          </w:tcPr>
          <w:p w:rsidR="00E75DE8" w:rsidRPr="00E75DE8" w:rsidRDefault="00E75DE8" w:rsidP="00E75DE8">
            <w:pPr>
              <w:jc w:val="both"/>
              <w:rPr>
                <w:rFonts w:ascii="Times New Roman" w:hAnsi="Times New Roman" w:cs="Times New Roman"/>
                <w:b/>
                <w:sz w:val="28"/>
                <w:szCs w:val="28"/>
              </w:rPr>
            </w:pPr>
            <w:r w:rsidRPr="00E75DE8">
              <w:rPr>
                <w:rFonts w:ascii="Times New Roman" w:hAnsi="Times New Roman" w:cs="Times New Roman"/>
                <w:b/>
                <w:sz w:val="28"/>
                <w:szCs w:val="28"/>
              </w:rPr>
              <w:t>Официальные  оппоненты:</w:t>
            </w:r>
          </w:p>
        </w:tc>
        <w:tc>
          <w:tcPr>
            <w:tcW w:w="5777" w:type="dxa"/>
          </w:tcPr>
          <w:p w:rsidR="00E75DE8" w:rsidRDefault="00E75DE8" w:rsidP="00E75DE8">
            <w:pPr>
              <w:jc w:val="both"/>
              <w:rPr>
                <w:rFonts w:ascii="Times New Roman" w:hAnsi="Times New Roman" w:cs="Times New Roman"/>
                <w:sz w:val="28"/>
                <w:szCs w:val="28"/>
              </w:rPr>
            </w:pPr>
          </w:p>
        </w:tc>
      </w:tr>
      <w:tr w:rsidR="00E75DE8" w:rsidTr="00E75DE8">
        <w:tc>
          <w:tcPr>
            <w:tcW w:w="3794" w:type="dxa"/>
          </w:tcPr>
          <w:p w:rsidR="00E75DE8" w:rsidRDefault="00E75DE8" w:rsidP="00E75DE8">
            <w:pPr>
              <w:jc w:val="both"/>
              <w:rPr>
                <w:rFonts w:ascii="Times New Roman" w:hAnsi="Times New Roman" w:cs="Times New Roman"/>
                <w:sz w:val="28"/>
                <w:szCs w:val="28"/>
              </w:rPr>
            </w:pPr>
          </w:p>
        </w:tc>
        <w:tc>
          <w:tcPr>
            <w:tcW w:w="5777" w:type="dxa"/>
          </w:tcPr>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p w:rsidR="00E75DE8" w:rsidRDefault="00E75DE8" w:rsidP="00E75DE8">
            <w:pPr>
              <w:jc w:val="both"/>
              <w:rPr>
                <w:rFonts w:ascii="Times New Roman" w:hAnsi="Times New Roman" w:cs="Times New Roman"/>
                <w:sz w:val="28"/>
                <w:szCs w:val="28"/>
              </w:rPr>
            </w:pPr>
          </w:p>
        </w:tc>
      </w:tr>
    </w:tbl>
    <w:p w:rsidR="00E75DE8" w:rsidRP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b/>
          <w:sz w:val="28"/>
          <w:szCs w:val="28"/>
        </w:rPr>
        <w:t>Ведущая (оппонирующая) организация:</w:t>
      </w:r>
      <w:r w:rsidRPr="00E75DE8">
        <w:rPr>
          <w:rFonts w:ascii="Times New Roman" w:hAnsi="Times New Roman" w:cs="Times New Roman"/>
          <w:sz w:val="28"/>
          <w:szCs w:val="28"/>
        </w:rPr>
        <w:t xml:space="preserve"> </w:t>
      </w:r>
      <w:r w:rsidRPr="00E75DE8">
        <w:rPr>
          <w:rFonts w:ascii="Times New Roman" w:hAnsi="Times New Roman" w:cs="Times New Roman"/>
          <w:color w:val="FFFFFF" w:themeColor="background1"/>
          <w:sz w:val="28"/>
          <w:szCs w:val="28"/>
        </w:rPr>
        <w:t>Андижанский государственный медицинский институт, кафедра патологической физиологии (110000, Республика Узбекистан, г. Андижан, пр. А. Навои, 126).</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E75DE8" w:rsidRDefault="00E75DE8" w:rsidP="00E75DE8">
      <w:pPr>
        <w:spacing w:after="0" w:line="240" w:lineRule="auto"/>
        <w:ind w:firstLine="567"/>
        <w:jc w:val="both"/>
        <w:rPr>
          <w:rFonts w:ascii="Times New Roman" w:hAnsi="Times New Roman" w:cs="Times New Roman"/>
          <w:sz w:val="28"/>
          <w:szCs w:val="28"/>
        </w:rPr>
      </w:pPr>
      <w:r w:rsidRPr="00E75DE8">
        <w:rPr>
          <w:rFonts w:ascii="Times New Roman" w:hAnsi="Times New Roman" w:cs="Times New Roman"/>
          <w:sz w:val="28"/>
          <w:szCs w:val="28"/>
        </w:rPr>
        <w:t>Защита диссертации состоится «___» _____________2024 г. в ____ часов на заседа</w:t>
      </w:r>
      <w:r w:rsidR="002F39FF">
        <w:rPr>
          <w:rFonts w:ascii="Times New Roman" w:hAnsi="Times New Roman" w:cs="Times New Roman"/>
          <w:sz w:val="28"/>
          <w:szCs w:val="28"/>
        </w:rPr>
        <w:t>нии диссертационного совета Д 03</w:t>
      </w:r>
      <w:r w:rsidRPr="00E75DE8">
        <w:rPr>
          <w:rFonts w:ascii="Times New Roman" w:hAnsi="Times New Roman" w:cs="Times New Roman"/>
          <w:sz w:val="28"/>
          <w:szCs w:val="28"/>
        </w:rPr>
        <w:t>.23.691 по защите диссертаций на соискание ученой степени доктора (кандидата) медицинских наук  при Кыргызской государственной медицинской академии им. И. К. Ахунбаева и Ошском государственном университете по  адресу:  720020, г. Бишкек,</w:t>
      </w:r>
      <w:r>
        <w:rPr>
          <w:rFonts w:ascii="Times New Roman" w:hAnsi="Times New Roman" w:cs="Times New Roman"/>
          <w:sz w:val="28"/>
          <w:szCs w:val="28"/>
        </w:rPr>
        <w:t xml:space="preserve">                                  </w:t>
      </w:r>
      <w:r w:rsidRPr="00E75DE8">
        <w:rPr>
          <w:rFonts w:ascii="Times New Roman" w:hAnsi="Times New Roman" w:cs="Times New Roman"/>
          <w:sz w:val="28"/>
          <w:szCs w:val="28"/>
        </w:rPr>
        <w:t xml:space="preserve"> ул. Ахунбаева, 92, в конференц-зале. Ссылка доступа к видеоконференции защиты диссертации: https://vc.vak.kg/b/032-clg-rrw-xgy</w:t>
      </w:r>
    </w:p>
    <w:p w:rsidR="00E75DE8" w:rsidRPr="00E75DE8" w:rsidRDefault="00E75DE8" w:rsidP="00E75DE8">
      <w:pPr>
        <w:spacing w:after="0" w:line="240" w:lineRule="auto"/>
        <w:ind w:firstLine="567"/>
        <w:jc w:val="both"/>
        <w:rPr>
          <w:rFonts w:ascii="Times New Roman" w:hAnsi="Times New Roman" w:cs="Times New Roman"/>
          <w:sz w:val="28"/>
          <w:szCs w:val="28"/>
        </w:rPr>
      </w:pPr>
      <w:r w:rsidRPr="00E75DE8">
        <w:rPr>
          <w:rFonts w:ascii="Times New Roman" w:hAnsi="Times New Roman" w:cs="Times New Roman"/>
          <w:sz w:val="28"/>
          <w:szCs w:val="28"/>
        </w:rPr>
        <w:t>С диссертацией можно ознакомиться в библиотеках Кыргызской государственной медицинской академии им. И. К. Ахунбаева (720020,                           г. Бишкек, ул. Ахунбаева, 92) и Ошского государственного университета (723500, г. Ош, ул. Ленина, 331) и на сайте  http://www.vak.kg</w:t>
      </w:r>
    </w:p>
    <w:p w:rsidR="00E75DE8" w:rsidRPr="00E75DE8" w:rsidRDefault="00E75DE8" w:rsidP="00E75DE8">
      <w:pPr>
        <w:spacing w:after="0" w:line="240" w:lineRule="auto"/>
        <w:ind w:firstLine="567"/>
        <w:jc w:val="both"/>
        <w:rPr>
          <w:rFonts w:ascii="Times New Roman" w:hAnsi="Times New Roman" w:cs="Times New Roman"/>
          <w:sz w:val="28"/>
          <w:szCs w:val="28"/>
        </w:rPr>
      </w:pPr>
    </w:p>
    <w:p w:rsidR="00E75DE8" w:rsidRPr="00E75DE8" w:rsidRDefault="00E75DE8" w:rsidP="00E75DE8">
      <w:pPr>
        <w:spacing w:after="0" w:line="240" w:lineRule="auto"/>
        <w:ind w:firstLine="567"/>
        <w:jc w:val="both"/>
        <w:rPr>
          <w:rFonts w:ascii="Times New Roman" w:hAnsi="Times New Roman" w:cs="Times New Roman"/>
          <w:sz w:val="28"/>
          <w:szCs w:val="28"/>
        </w:rPr>
      </w:pPr>
      <w:r w:rsidRPr="00E75DE8">
        <w:rPr>
          <w:rFonts w:ascii="Times New Roman" w:hAnsi="Times New Roman" w:cs="Times New Roman"/>
          <w:sz w:val="28"/>
          <w:szCs w:val="28"/>
        </w:rPr>
        <w:t>Автореферат разослан __________  2024 года.</w:t>
      </w:r>
    </w:p>
    <w:p w:rsidR="00E75DE8" w:rsidRP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Ученый секретарь диссертационного совета,</w:t>
      </w:r>
    </w:p>
    <w:p w:rsidR="00E75DE8" w:rsidRP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кандидат медицинских наук, доцент                            </w:t>
      </w:r>
      <w:r>
        <w:rPr>
          <w:rFonts w:ascii="Times New Roman" w:hAnsi="Times New Roman" w:cs="Times New Roman"/>
          <w:sz w:val="28"/>
          <w:szCs w:val="28"/>
        </w:rPr>
        <w:t xml:space="preserve">           </w:t>
      </w:r>
      <w:r w:rsidRPr="00E75DE8">
        <w:rPr>
          <w:rFonts w:ascii="Times New Roman" w:hAnsi="Times New Roman" w:cs="Times New Roman"/>
          <w:sz w:val="28"/>
          <w:szCs w:val="28"/>
        </w:rPr>
        <w:t xml:space="preserve">    А. Б. Сайдылдаева </w:t>
      </w:r>
    </w:p>
    <w:p w:rsidR="002F39FF"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                              </w:t>
      </w:r>
    </w:p>
    <w:p w:rsidR="002F39FF" w:rsidRDefault="002F39FF" w:rsidP="00E75DE8">
      <w:pPr>
        <w:spacing w:after="0" w:line="240" w:lineRule="auto"/>
        <w:jc w:val="both"/>
        <w:rPr>
          <w:rFonts w:ascii="Times New Roman" w:hAnsi="Times New Roman" w:cs="Times New Roman"/>
          <w:sz w:val="28"/>
          <w:szCs w:val="28"/>
        </w:rPr>
      </w:pPr>
    </w:p>
    <w:p w:rsidR="002F39FF" w:rsidRDefault="002F39FF" w:rsidP="00E75DE8">
      <w:pPr>
        <w:spacing w:after="0" w:line="240" w:lineRule="auto"/>
        <w:jc w:val="both"/>
        <w:rPr>
          <w:rFonts w:ascii="Times New Roman" w:hAnsi="Times New Roman" w:cs="Times New Roman"/>
          <w:sz w:val="28"/>
          <w:szCs w:val="28"/>
        </w:rPr>
      </w:pPr>
    </w:p>
    <w:p w:rsidR="00E75DE8" w:rsidRPr="00E75DE8" w:rsidRDefault="00470CFB" w:rsidP="00E75DE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75DE8" w:rsidRPr="00E75DE8">
        <w:rPr>
          <w:rFonts w:ascii="Times New Roman" w:hAnsi="Times New Roman" w:cs="Times New Roman"/>
          <w:b/>
          <w:sz w:val="28"/>
          <w:szCs w:val="28"/>
        </w:rPr>
        <w:t>ОБЩАЯ ХАРАКТЕРИСТИКА РАБОТЫ</w:t>
      </w:r>
    </w:p>
    <w:p w:rsidR="00E75DE8" w:rsidRPr="00E75DE8" w:rsidRDefault="00E75DE8" w:rsidP="00E75DE8">
      <w:pPr>
        <w:spacing w:after="0" w:line="240" w:lineRule="auto"/>
        <w:jc w:val="both"/>
        <w:rPr>
          <w:rFonts w:ascii="Times New Roman" w:hAnsi="Times New Roman" w:cs="Times New Roman"/>
          <w:sz w:val="28"/>
          <w:szCs w:val="28"/>
        </w:rPr>
      </w:pPr>
    </w:p>
    <w:p w:rsidR="00931CF7" w:rsidRPr="00E75DE8" w:rsidRDefault="00E75DE8" w:rsidP="00931CF7">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Актуальность темы исследования.</w:t>
      </w:r>
      <w:r w:rsidRPr="00E75DE8">
        <w:rPr>
          <w:rFonts w:ascii="Times New Roman" w:hAnsi="Times New Roman" w:cs="Times New Roman"/>
          <w:sz w:val="28"/>
          <w:szCs w:val="28"/>
        </w:rPr>
        <w:t xml:space="preserve"> Загрязнение воздуха в настоящее время является важнейшим этиологическим фактором заболеваний органов дыхания, в том числе бронхиальной астмой, респираторными инфекциями, хронической обструктивной болезнью легких (ХОБЛ), туберкулезом, раком легкого [C.</w:t>
      </w:r>
      <w:r>
        <w:rPr>
          <w:rFonts w:ascii="Times New Roman" w:hAnsi="Times New Roman" w:cs="Times New Roman"/>
          <w:sz w:val="28"/>
          <w:szCs w:val="28"/>
        </w:rPr>
        <w:t xml:space="preserve"> </w:t>
      </w:r>
      <w:r w:rsidRPr="00E75DE8">
        <w:rPr>
          <w:rFonts w:ascii="Times New Roman" w:hAnsi="Times New Roman" w:cs="Times New Roman"/>
          <w:sz w:val="28"/>
          <w:szCs w:val="28"/>
        </w:rPr>
        <w:t>И. Лещук и др., 2017;  А.</w:t>
      </w:r>
      <w:r>
        <w:rPr>
          <w:rFonts w:ascii="Times New Roman" w:hAnsi="Times New Roman" w:cs="Times New Roman"/>
          <w:sz w:val="28"/>
          <w:szCs w:val="28"/>
        </w:rPr>
        <w:t xml:space="preserve"> </w:t>
      </w:r>
      <w:r w:rsidRPr="00E75DE8">
        <w:rPr>
          <w:rFonts w:ascii="Times New Roman" w:hAnsi="Times New Roman" w:cs="Times New Roman"/>
          <w:sz w:val="28"/>
          <w:szCs w:val="28"/>
        </w:rPr>
        <w:t>Ю.</w:t>
      </w:r>
      <w:r>
        <w:rPr>
          <w:rFonts w:ascii="Times New Roman" w:hAnsi="Times New Roman" w:cs="Times New Roman"/>
          <w:sz w:val="28"/>
          <w:szCs w:val="28"/>
        </w:rPr>
        <w:t xml:space="preserve"> </w:t>
      </w:r>
      <w:r w:rsidRPr="00E75DE8">
        <w:rPr>
          <w:rFonts w:ascii="Times New Roman" w:hAnsi="Times New Roman" w:cs="Times New Roman"/>
          <w:sz w:val="28"/>
          <w:szCs w:val="28"/>
        </w:rPr>
        <w:t>Прокопова, 2015; S.</w:t>
      </w:r>
      <w:r>
        <w:rPr>
          <w:rFonts w:ascii="Times New Roman" w:hAnsi="Times New Roman" w:cs="Times New Roman"/>
          <w:sz w:val="28"/>
          <w:szCs w:val="28"/>
        </w:rPr>
        <w:t xml:space="preserve"> </w:t>
      </w:r>
      <w:r w:rsidRPr="00E75DE8">
        <w:rPr>
          <w:rFonts w:ascii="Times New Roman" w:hAnsi="Times New Roman" w:cs="Times New Roman"/>
          <w:sz w:val="28"/>
          <w:szCs w:val="28"/>
        </w:rPr>
        <w:t>Maheswari et al., 2020; P.</w:t>
      </w:r>
      <w:r>
        <w:rPr>
          <w:rFonts w:ascii="Times New Roman" w:hAnsi="Times New Roman" w:cs="Times New Roman"/>
          <w:sz w:val="28"/>
          <w:szCs w:val="28"/>
        </w:rPr>
        <w:t xml:space="preserve"> </w:t>
      </w:r>
      <w:r w:rsidRPr="00E75DE8">
        <w:rPr>
          <w:rFonts w:ascii="Times New Roman" w:hAnsi="Times New Roman" w:cs="Times New Roman"/>
          <w:sz w:val="28"/>
          <w:szCs w:val="28"/>
        </w:rPr>
        <w:t>E.</w:t>
      </w:r>
      <w:r>
        <w:rPr>
          <w:rFonts w:ascii="Times New Roman" w:hAnsi="Times New Roman" w:cs="Times New Roman"/>
          <w:sz w:val="28"/>
          <w:szCs w:val="28"/>
        </w:rPr>
        <w:t xml:space="preserve"> </w:t>
      </w:r>
      <w:r w:rsidRPr="00E75DE8">
        <w:rPr>
          <w:rFonts w:ascii="Times New Roman" w:hAnsi="Times New Roman" w:cs="Times New Roman"/>
          <w:sz w:val="28"/>
          <w:szCs w:val="28"/>
        </w:rPr>
        <w:t>Pfeffer et al., 2020]. По данным Всемирной организации здравоохранения (ВОЗ), ежегодно 7 миллионов человек умирают вследствие заболеваний, обусловленных загрязнением атмосферы [World Health Organization, 2020]. За последние годы во всем мире, в том числе и в Кыргызской Республике отмечается ухудшение  экологической ситуации, в связи с антропогенным воздействием человека на природу. Экосистема Кыргызской Республики отличается большой ранимостью  и хрупкостью экологического баланса вследствие горного ландшафта [Р.</w:t>
      </w:r>
      <w:r>
        <w:rPr>
          <w:rFonts w:ascii="Times New Roman" w:hAnsi="Times New Roman" w:cs="Times New Roman"/>
          <w:sz w:val="28"/>
          <w:szCs w:val="28"/>
        </w:rPr>
        <w:t xml:space="preserve"> </w:t>
      </w:r>
      <w:r w:rsidRPr="00E75DE8">
        <w:rPr>
          <w:rFonts w:ascii="Times New Roman" w:hAnsi="Times New Roman" w:cs="Times New Roman"/>
          <w:sz w:val="28"/>
          <w:szCs w:val="28"/>
        </w:rPr>
        <w:t>Р.</w:t>
      </w:r>
      <w:r>
        <w:rPr>
          <w:rFonts w:ascii="Times New Roman" w:hAnsi="Times New Roman" w:cs="Times New Roman"/>
          <w:sz w:val="28"/>
          <w:szCs w:val="28"/>
        </w:rPr>
        <w:t xml:space="preserve"> </w:t>
      </w:r>
      <w:r w:rsidRPr="00E75DE8">
        <w:rPr>
          <w:rFonts w:ascii="Times New Roman" w:hAnsi="Times New Roman" w:cs="Times New Roman"/>
          <w:sz w:val="28"/>
          <w:szCs w:val="28"/>
        </w:rPr>
        <w:t>Тухватшин,</w:t>
      </w:r>
      <w:r>
        <w:rPr>
          <w:rFonts w:ascii="Times New Roman" w:hAnsi="Times New Roman" w:cs="Times New Roman"/>
          <w:sz w:val="28"/>
          <w:szCs w:val="28"/>
        </w:rPr>
        <w:t xml:space="preserve"> </w:t>
      </w:r>
      <w:r w:rsidRPr="00E75DE8">
        <w:rPr>
          <w:rFonts w:ascii="Times New Roman" w:hAnsi="Times New Roman" w:cs="Times New Roman"/>
          <w:sz w:val="28"/>
          <w:szCs w:val="28"/>
        </w:rPr>
        <w:t>2011]. Из-за географического расположения Кыргызстана проблемам высокогорья и низкогорья посвящены множество актуальных трудов, вызывающих огромный интерес ученых, где затрагиваются  значимые аспекты адаптации</w:t>
      </w:r>
      <w:r>
        <w:rPr>
          <w:rFonts w:ascii="Times New Roman" w:hAnsi="Times New Roman" w:cs="Times New Roman"/>
          <w:sz w:val="28"/>
          <w:szCs w:val="28"/>
        </w:rPr>
        <w:t xml:space="preserve"> </w:t>
      </w:r>
      <w:r w:rsidR="00C9209C">
        <w:rPr>
          <w:rFonts w:ascii="Times New Roman" w:hAnsi="Times New Roman" w:cs="Times New Roman"/>
          <w:sz w:val="28"/>
          <w:szCs w:val="28"/>
        </w:rPr>
        <w:t>[ Куттубаев О.Т.,  Тухватшин Р.Р., Кононец И.Е., Бримкулов Н.Н., Какеев Б.А., Ниязов Б.С.</w:t>
      </w:r>
      <w:r w:rsidR="00CF0C43" w:rsidRPr="00CF0C43">
        <w:rPr>
          <w:rFonts w:ascii="Times New Roman" w:hAnsi="Times New Roman" w:cs="Times New Roman"/>
          <w:sz w:val="28"/>
          <w:szCs w:val="28"/>
        </w:rPr>
        <w:t>, Шаназаров</w:t>
      </w:r>
      <w:r w:rsidR="00C9209C">
        <w:rPr>
          <w:rFonts w:ascii="Times New Roman" w:hAnsi="Times New Roman" w:cs="Times New Roman"/>
          <w:sz w:val="28"/>
          <w:szCs w:val="28"/>
        </w:rPr>
        <w:t xml:space="preserve"> А.С.,Джунусова Г.С.,Муратов Ж.К.</w:t>
      </w:r>
      <w:r w:rsidR="00CF0C43" w:rsidRPr="00CF0C43">
        <w:rPr>
          <w:rFonts w:ascii="Times New Roman" w:hAnsi="Times New Roman" w:cs="Times New Roman"/>
          <w:sz w:val="28"/>
          <w:szCs w:val="28"/>
        </w:rPr>
        <w:t xml:space="preserve">]. </w:t>
      </w:r>
      <w:r w:rsidRPr="00E75DE8">
        <w:rPr>
          <w:rFonts w:ascii="Times New Roman" w:hAnsi="Times New Roman" w:cs="Times New Roman"/>
          <w:sz w:val="28"/>
          <w:szCs w:val="28"/>
        </w:rPr>
        <w:t xml:space="preserve"> В настоящее время наряду с проблемами высоко и низкогорья, все больший интерес, современного общества вызывает  влияние загрязненного атмосферного воздуха на организм человека, в связи с недостаточным изучением. </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Концентрации более 0,2 частей на млрд (ppb) вызывают неблагоприятные эффекты у людей, влияют на иммунную систему, в частности, показано, что концентрации выше 2,0 (ppb) воздействуют на Т-лимфоциты, особенно на клетки CD8+ и естественные киллеры (NK), участвующие в различных иммунных реакциях [P.</w:t>
      </w:r>
      <w:r>
        <w:rPr>
          <w:rFonts w:ascii="Times New Roman" w:hAnsi="Times New Roman" w:cs="Times New Roman"/>
          <w:sz w:val="28"/>
          <w:szCs w:val="28"/>
        </w:rPr>
        <w:t xml:space="preserve"> </w:t>
      </w:r>
      <w:r w:rsidRPr="00E75DE8">
        <w:rPr>
          <w:rFonts w:ascii="Times New Roman" w:hAnsi="Times New Roman" w:cs="Times New Roman"/>
          <w:sz w:val="28"/>
          <w:szCs w:val="28"/>
        </w:rPr>
        <w:t>M.</w:t>
      </w:r>
      <w:r>
        <w:rPr>
          <w:rFonts w:ascii="Times New Roman" w:hAnsi="Times New Roman" w:cs="Times New Roman"/>
          <w:sz w:val="28"/>
          <w:szCs w:val="28"/>
        </w:rPr>
        <w:t xml:space="preserve"> </w:t>
      </w:r>
      <w:r w:rsidRPr="00E75DE8">
        <w:rPr>
          <w:rFonts w:ascii="Times New Roman" w:hAnsi="Times New Roman" w:cs="Times New Roman"/>
          <w:sz w:val="28"/>
          <w:szCs w:val="28"/>
        </w:rPr>
        <w:t>Mannucci et al., 2015]. Эти механизмы усиливают выраженность аллергического воспаления дыхательных путей.</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В связи с вышеизложенным необходимо учитывать влияние загрязнения воздуха на иммунную систему, как важнейший механизм повышения заболеваемости болезнями органов дыхания [А.</w:t>
      </w:r>
      <w:r>
        <w:rPr>
          <w:rFonts w:ascii="Times New Roman" w:hAnsi="Times New Roman" w:cs="Times New Roman"/>
          <w:sz w:val="28"/>
          <w:szCs w:val="28"/>
        </w:rPr>
        <w:t xml:space="preserve"> </w:t>
      </w:r>
      <w:r w:rsidRPr="00E75DE8">
        <w:rPr>
          <w:rFonts w:ascii="Times New Roman" w:hAnsi="Times New Roman" w:cs="Times New Roman"/>
          <w:sz w:val="28"/>
          <w:szCs w:val="28"/>
        </w:rPr>
        <w:t>Г. Зарифьян и др., 2013; С.</w:t>
      </w:r>
      <w:r>
        <w:rPr>
          <w:rFonts w:ascii="Times New Roman" w:hAnsi="Times New Roman" w:cs="Times New Roman"/>
          <w:sz w:val="28"/>
          <w:szCs w:val="28"/>
        </w:rPr>
        <w:t xml:space="preserve"> </w:t>
      </w:r>
      <w:r w:rsidRPr="00E75DE8">
        <w:rPr>
          <w:rFonts w:ascii="Times New Roman" w:hAnsi="Times New Roman" w:cs="Times New Roman"/>
          <w:sz w:val="28"/>
          <w:szCs w:val="28"/>
        </w:rPr>
        <w:t>Н. Русак и др., 2015;  D.</w:t>
      </w:r>
      <w:r>
        <w:rPr>
          <w:rFonts w:ascii="Times New Roman" w:hAnsi="Times New Roman" w:cs="Times New Roman"/>
          <w:sz w:val="28"/>
          <w:szCs w:val="28"/>
        </w:rPr>
        <w:t xml:space="preserve"> </w:t>
      </w:r>
      <w:r w:rsidRPr="00E75DE8">
        <w:rPr>
          <w:rFonts w:ascii="Times New Roman" w:hAnsi="Times New Roman" w:cs="Times New Roman"/>
          <w:sz w:val="28"/>
          <w:szCs w:val="28"/>
        </w:rPr>
        <w:t>Doiron et al., 2019; P.</w:t>
      </w:r>
      <w:r>
        <w:rPr>
          <w:rFonts w:ascii="Times New Roman" w:hAnsi="Times New Roman" w:cs="Times New Roman"/>
          <w:sz w:val="28"/>
          <w:szCs w:val="28"/>
        </w:rPr>
        <w:t xml:space="preserve"> </w:t>
      </w:r>
      <w:r w:rsidRPr="00E75DE8">
        <w:rPr>
          <w:rFonts w:ascii="Times New Roman" w:hAnsi="Times New Roman" w:cs="Times New Roman"/>
          <w:sz w:val="28"/>
          <w:szCs w:val="28"/>
        </w:rPr>
        <w:t xml:space="preserve">D. Katoto et al., 2021]. Актуальным является углубленное изучение иммунопатогенеза этих заболеваний и связанных с ним нарушений состояния здоровья населения с целью поиска эффективных методов их профилактики и лечения.  </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 ¬исследовательскими работами, проводимыми образовательными и научными учреждениями.</w:t>
      </w:r>
      <w:r w:rsidRPr="00E75DE8">
        <w:rPr>
          <w:rFonts w:ascii="Times New Roman" w:hAnsi="Times New Roman" w:cs="Times New Roman"/>
          <w:sz w:val="28"/>
          <w:szCs w:val="28"/>
        </w:rPr>
        <w:t xml:space="preserve">  </w:t>
      </w:r>
      <w:r>
        <w:rPr>
          <w:rFonts w:ascii="Times New Roman" w:hAnsi="Times New Roman" w:cs="Times New Roman"/>
          <w:sz w:val="28"/>
          <w:szCs w:val="28"/>
        </w:rPr>
        <w:t>Тема и</w:t>
      </w:r>
      <w:r w:rsidRPr="00E75DE8">
        <w:rPr>
          <w:rFonts w:ascii="Times New Roman" w:hAnsi="Times New Roman" w:cs="Times New Roman"/>
          <w:sz w:val="28"/>
          <w:szCs w:val="28"/>
        </w:rPr>
        <w:t>нициативная.</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lastRenderedPageBreak/>
        <w:t>Цель исследования.</w:t>
      </w:r>
      <w:r w:rsidRPr="00E75DE8">
        <w:rPr>
          <w:rFonts w:ascii="Times New Roman" w:hAnsi="Times New Roman" w:cs="Times New Roman"/>
          <w:sz w:val="28"/>
          <w:szCs w:val="28"/>
        </w:rPr>
        <w:t xml:space="preserve">  </w:t>
      </w:r>
      <w:r w:rsidR="00CF0C43" w:rsidRPr="00CF0C43">
        <w:rPr>
          <w:rFonts w:ascii="Times New Roman" w:hAnsi="Times New Roman" w:cs="Times New Roman"/>
          <w:sz w:val="28"/>
          <w:szCs w:val="28"/>
        </w:rPr>
        <w:t>Изучить механизмы развития воспалительно-аллергических заболеваний органов дыхания, вызванным техногенным загр</w:t>
      </w:r>
      <w:r w:rsidR="00C9209C">
        <w:rPr>
          <w:rFonts w:ascii="Times New Roman" w:hAnsi="Times New Roman" w:cs="Times New Roman"/>
          <w:sz w:val="28"/>
          <w:szCs w:val="28"/>
        </w:rPr>
        <w:t xml:space="preserve">язнением атмосферного воздуха, </w:t>
      </w:r>
      <w:r w:rsidR="00CF0C43" w:rsidRPr="00CF0C43">
        <w:rPr>
          <w:rFonts w:ascii="Times New Roman" w:hAnsi="Times New Roman" w:cs="Times New Roman"/>
          <w:sz w:val="28"/>
          <w:szCs w:val="28"/>
        </w:rPr>
        <w:t>для усовершенствования профилактических и лече</w:t>
      </w:r>
      <w:r w:rsidR="00C9209C">
        <w:rPr>
          <w:rFonts w:ascii="Times New Roman" w:hAnsi="Times New Roman" w:cs="Times New Roman"/>
          <w:sz w:val="28"/>
          <w:szCs w:val="28"/>
        </w:rPr>
        <w:t xml:space="preserve">бно-диагностических мероприятий. </w:t>
      </w:r>
    </w:p>
    <w:p w:rsidR="00E75DE8" w:rsidRPr="00E75DE8" w:rsidRDefault="00E75DE8" w:rsidP="00E75DE8">
      <w:pPr>
        <w:tabs>
          <w:tab w:val="left" w:pos="1134"/>
        </w:tabs>
        <w:spacing w:after="0" w:line="240" w:lineRule="auto"/>
        <w:ind w:firstLine="709"/>
        <w:jc w:val="both"/>
        <w:rPr>
          <w:rFonts w:ascii="Times New Roman" w:hAnsi="Times New Roman" w:cs="Times New Roman"/>
          <w:b/>
          <w:sz w:val="28"/>
          <w:szCs w:val="28"/>
        </w:rPr>
      </w:pPr>
      <w:r w:rsidRPr="00E75DE8">
        <w:rPr>
          <w:rFonts w:ascii="Times New Roman" w:hAnsi="Times New Roman" w:cs="Times New Roman"/>
          <w:b/>
          <w:sz w:val="28"/>
          <w:szCs w:val="28"/>
        </w:rPr>
        <w:t>Задачи исследования:</w:t>
      </w:r>
    </w:p>
    <w:p w:rsidR="00CF0C43" w:rsidRPr="00CF0C43" w:rsidRDefault="00CF0C43" w:rsidP="00CF0C43">
      <w:pPr>
        <w:tabs>
          <w:tab w:val="left" w:pos="1134"/>
        </w:tabs>
        <w:spacing w:after="0" w:line="240" w:lineRule="auto"/>
        <w:ind w:firstLine="709"/>
        <w:jc w:val="both"/>
        <w:rPr>
          <w:rFonts w:ascii="Times New Roman" w:hAnsi="Times New Roman" w:cs="Times New Roman"/>
          <w:sz w:val="28"/>
          <w:szCs w:val="28"/>
        </w:rPr>
      </w:pPr>
      <w:r w:rsidRPr="00CF0C43">
        <w:rPr>
          <w:rFonts w:ascii="Times New Roman" w:hAnsi="Times New Roman" w:cs="Times New Roman"/>
          <w:sz w:val="28"/>
          <w:szCs w:val="28"/>
        </w:rPr>
        <w:t>1. Провести гигиеническую оценку атмосферного воздуха в г.Ош , в с.Папан, в с.Гулбар</w:t>
      </w:r>
      <w:r w:rsidR="00C9209C">
        <w:rPr>
          <w:rFonts w:ascii="Times New Roman" w:hAnsi="Times New Roman" w:cs="Times New Roman"/>
          <w:sz w:val="28"/>
          <w:szCs w:val="28"/>
        </w:rPr>
        <w:t xml:space="preserve"> КР</w:t>
      </w:r>
      <w:r w:rsidRPr="00CF0C43">
        <w:rPr>
          <w:rFonts w:ascii="Times New Roman" w:hAnsi="Times New Roman" w:cs="Times New Roman"/>
          <w:sz w:val="28"/>
          <w:szCs w:val="28"/>
        </w:rPr>
        <w:t xml:space="preserve"> с различным уровнем атмосферного загрязнения.</w:t>
      </w:r>
    </w:p>
    <w:p w:rsidR="00CF0C43" w:rsidRPr="00CF0C43" w:rsidRDefault="00CF0C43" w:rsidP="00CF0C43">
      <w:pPr>
        <w:tabs>
          <w:tab w:val="left" w:pos="1134"/>
        </w:tabs>
        <w:spacing w:after="0" w:line="240" w:lineRule="auto"/>
        <w:ind w:firstLine="709"/>
        <w:jc w:val="both"/>
        <w:rPr>
          <w:rFonts w:ascii="Times New Roman" w:hAnsi="Times New Roman" w:cs="Times New Roman"/>
          <w:sz w:val="28"/>
          <w:szCs w:val="28"/>
        </w:rPr>
      </w:pPr>
      <w:r w:rsidRPr="00CF0C43">
        <w:rPr>
          <w:rFonts w:ascii="Times New Roman" w:hAnsi="Times New Roman" w:cs="Times New Roman"/>
          <w:sz w:val="28"/>
          <w:szCs w:val="28"/>
        </w:rPr>
        <w:t>2. Выполнить комплексное клиническое, инструментальное и лабораторное обследование жителей в г.Ош , в с.Папан, в с.Гулбар, проживающих в районах с различным уровнем атмосферного загрязнения, оценить качество жизни  обследуемых.</w:t>
      </w:r>
    </w:p>
    <w:p w:rsidR="00CF0C43" w:rsidRPr="00CF0C43" w:rsidRDefault="00CF0C43" w:rsidP="00CF0C43">
      <w:pPr>
        <w:tabs>
          <w:tab w:val="left" w:pos="1134"/>
        </w:tabs>
        <w:spacing w:after="0" w:line="240" w:lineRule="auto"/>
        <w:ind w:firstLine="709"/>
        <w:jc w:val="both"/>
        <w:rPr>
          <w:rFonts w:ascii="Times New Roman" w:hAnsi="Times New Roman" w:cs="Times New Roman"/>
          <w:sz w:val="28"/>
          <w:szCs w:val="28"/>
        </w:rPr>
      </w:pPr>
      <w:r w:rsidRPr="00CF0C43">
        <w:rPr>
          <w:rFonts w:ascii="Times New Roman" w:hAnsi="Times New Roman" w:cs="Times New Roman"/>
          <w:sz w:val="28"/>
          <w:szCs w:val="28"/>
        </w:rPr>
        <w:t>3. Изучить микробиологическую обсемененность полости носа и зева, активность свободнорадикального окисления в конденсате выдыхаемого воздуха, а также сравнить показатели иммунного статуса у жителей Кыргызской Республики, проживающих в районах с различным уровнем атмосферного загрязнения.</w:t>
      </w:r>
    </w:p>
    <w:p w:rsidR="00CF0C43" w:rsidRPr="00CF0C43" w:rsidRDefault="00CF0C43" w:rsidP="00CF0C43">
      <w:pPr>
        <w:tabs>
          <w:tab w:val="left" w:pos="1134"/>
        </w:tabs>
        <w:spacing w:after="0" w:line="240" w:lineRule="auto"/>
        <w:ind w:firstLine="709"/>
        <w:jc w:val="both"/>
        <w:rPr>
          <w:rFonts w:ascii="Times New Roman" w:hAnsi="Times New Roman" w:cs="Times New Roman"/>
          <w:sz w:val="28"/>
          <w:szCs w:val="28"/>
        </w:rPr>
      </w:pPr>
      <w:r w:rsidRPr="00CF0C43">
        <w:rPr>
          <w:rFonts w:ascii="Times New Roman" w:hAnsi="Times New Roman" w:cs="Times New Roman"/>
          <w:sz w:val="28"/>
          <w:szCs w:val="28"/>
        </w:rPr>
        <w:t>4. Выполнить поиск прогностических факторов  развития заболеваний дыхательной системы у лиц, проживающих в районах с различным уровнем атмосферного загрязнения.</w:t>
      </w:r>
    </w:p>
    <w:p w:rsidR="00CF0C43" w:rsidRDefault="00CF0C43" w:rsidP="00CF0C43">
      <w:pPr>
        <w:tabs>
          <w:tab w:val="left" w:pos="1134"/>
        </w:tabs>
        <w:spacing w:after="0" w:line="240" w:lineRule="auto"/>
        <w:ind w:firstLine="709"/>
        <w:jc w:val="both"/>
        <w:rPr>
          <w:rFonts w:ascii="Times New Roman" w:hAnsi="Times New Roman" w:cs="Times New Roman"/>
          <w:sz w:val="28"/>
          <w:szCs w:val="28"/>
        </w:rPr>
      </w:pPr>
      <w:r w:rsidRPr="00CF0C43">
        <w:rPr>
          <w:rFonts w:ascii="Times New Roman" w:hAnsi="Times New Roman" w:cs="Times New Roman"/>
          <w:sz w:val="28"/>
          <w:szCs w:val="28"/>
        </w:rPr>
        <w:t>5. Экспериментально определить влияние    загрязнителей воздуха на дыхательную систему животных.</w:t>
      </w:r>
    </w:p>
    <w:p w:rsidR="00EB2A10" w:rsidRDefault="00E75DE8" w:rsidP="00CF0C43">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Научная новизна полученных результатов.</w:t>
      </w:r>
      <w:r w:rsidRPr="00E75DE8">
        <w:rPr>
          <w:rFonts w:ascii="Times New Roman" w:hAnsi="Times New Roman" w:cs="Times New Roman"/>
          <w:sz w:val="28"/>
          <w:szCs w:val="28"/>
        </w:rPr>
        <w:t xml:space="preserve"> Впервые установлены выраженные различия по уровням заболеваемости аллергическим ринитом, хроническим бронхитом, бронхиальной астмой  у лиц, проживающих в</w:t>
      </w:r>
      <w:r w:rsidR="00C9209C">
        <w:rPr>
          <w:rFonts w:ascii="Times New Roman" w:hAnsi="Times New Roman" w:cs="Times New Roman"/>
          <w:sz w:val="28"/>
          <w:szCs w:val="28"/>
        </w:rPr>
        <w:t xml:space="preserve"> г.Ош, с.Папан, с.</w:t>
      </w:r>
      <w:r w:rsidR="00143E10">
        <w:rPr>
          <w:rFonts w:ascii="Times New Roman" w:hAnsi="Times New Roman" w:cs="Times New Roman"/>
          <w:sz w:val="28"/>
          <w:szCs w:val="28"/>
        </w:rPr>
        <w:t>Гулбаар</w:t>
      </w:r>
      <w:r w:rsidR="00C9209C">
        <w:rPr>
          <w:rFonts w:ascii="Times New Roman" w:hAnsi="Times New Roman" w:cs="Times New Roman"/>
          <w:sz w:val="28"/>
          <w:szCs w:val="28"/>
        </w:rPr>
        <w:t xml:space="preserve"> </w:t>
      </w:r>
      <w:r w:rsidRPr="00E75DE8">
        <w:rPr>
          <w:rFonts w:ascii="Times New Roman" w:hAnsi="Times New Roman" w:cs="Times New Roman"/>
          <w:sz w:val="28"/>
          <w:szCs w:val="28"/>
        </w:rPr>
        <w:t xml:space="preserve"> с различающейся степенью атмосферного загрязнения. </w:t>
      </w:r>
    </w:p>
    <w:p w:rsidR="00E75DE8" w:rsidRPr="00EB2A10" w:rsidRDefault="00E75DE8" w:rsidP="00E75DE8">
      <w:pPr>
        <w:tabs>
          <w:tab w:val="left" w:pos="1134"/>
        </w:tabs>
        <w:spacing w:after="0" w:line="240" w:lineRule="auto"/>
        <w:ind w:firstLine="709"/>
        <w:jc w:val="both"/>
        <w:rPr>
          <w:rFonts w:ascii="Times New Roman" w:hAnsi="Times New Roman" w:cs="Times New Roman"/>
          <w:spacing w:val="-4"/>
          <w:sz w:val="28"/>
          <w:szCs w:val="28"/>
        </w:rPr>
      </w:pPr>
      <w:r w:rsidRPr="00EB2A10">
        <w:rPr>
          <w:rFonts w:ascii="Times New Roman" w:hAnsi="Times New Roman" w:cs="Times New Roman"/>
          <w:spacing w:val="-4"/>
          <w:sz w:val="28"/>
          <w:szCs w:val="28"/>
        </w:rPr>
        <w:t>При этом продемонстрировано, что у жителей местностей с высокими уровнями загрязнения воздуха наблюдается более высокая частота жалоб</w:t>
      </w:r>
      <w:r w:rsidR="00C9209C" w:rsidRPr="00C9209C">
        <w:t xml:space="preserve"> </w:t>
      </w:r>
      <w:r w:rsidR="00C9209C" w:rsidRPr="00C9209C">
        <w:rPr>
          <w:rFonts w:ascii="Times New Roman" w:hAnsi="Times New Roman" w:cs="Times New Roman"/>
          <w:spacing w:val="-4"/>
          <w:sz w:val="28"/>
          <w:szCs w:val="28"/>
        </w:rPr>
        <w:t xml:space="preserve">на одышку, заложенность носа и кашель, обострений и рецидивов болезней органов дыхания,  повышенная частота </w:t>
      </w:r>
      <w:r w:rsidR="00C9209C">
        <w:rPr>
          <w:rFonts w:ascii="Times New Roman" w:hAnsi="Times New Roman" w:cs="Times New Roman"/>
          <w:spacing w:val="-4"/>
          <w:sz w:val="28"/>
          <w:szCs w:val="28"/>
        </w:rPr>
        <w:t xml:space="preserve">обострений, </w:t>
      </w:r>
      <w:r w:rsidR="00C9209C" w:rsidRPr="00EB2A10">
        <w:rPr>
          <w:rFonts w:ascii="Times New Roman" w:hAnsi="Times New Roman" w:cs="Times New Roman"/>
          <w:spacing w:val="-4"/>
          <w:sz w:val="28"/>
          <w:szCs w:val="28"/>
        </w:rPr>
        <w:t xml:space="preserve">рецидивов </w:t>
      </w:r>
      <w:r w:rsidR="00C9209C">
        <w:rPr>
          <w:rFonts w:ascii="Times New Roman" w:hAnsi="Times New Roman" w:cs="Times New Roman"/>
          <w:spacing w:val="-4"/>
          <w:sz w:val="28"/>
          <w:szCs w:val="28"/>
        </w:rPr>
        <w:t xml:space="preserve">и госпитализаций. </w:t>
      </w:r>
      <w:r w:rsidRPr="00EB2A10">
        <w:rPr>
          <w:rFonts w:ascii="Times New Roman" w:hAnsi="Times New Roman" w:cs="Times New Roman"/>
          <w:spacing w:val="-4"/>
          <w:sz w:val="28"/>
          <w:szCs w:val="28"/>
        </w:rPr>
        <w:t xml:space="preserve">Получены новые данные, характеризующие изменения параметров функции внешнего дыхания и риноманометрии у лиц, проживающих в условиях загрязненного атмосферного воздуха, степень микробной обсемененности верхних дыхательных </w:t>
      </w:r>
      <w:r w:rsidR="00C9209C">
        <w:rPr>
          <w:rFonts w:ascii="Times New Roman" w:hAnsi="Times New Roman" w:cs="Times New Roman"/>
          <w:spacing w:val="-4"/>
          <w:sz w:val="28"/>
          <w:szCs w:val="28"/>
        </w:rPr>
        <w:t xml:space="preserve">путей: </w:t>
      </w:r>
      <w:r w:rsidR="00C9209C" w:rsidRPr="00C9209C">
        <w:rPr>
          <w:rFonts w:ascii="Times New Roman" w:hAnsi="Times New Roman" w:cs="Times New Roman"/>
          <w:spacing w:val="-4"/>
          <w:sz w:val="28"/>
          <w:szCs w:val="28"/>
        </w:rPr>
        <w:t>чаще  выявляется микст-флора, при этом превалируют такие возбудители, как  St. Aureus  и Str. Pyogenes</w:t>
      </w:r>
      <w:r w:rsidR="00C9209C">
        <w:rPr>
          <w:rFonts w:ascii="Times New Roman" w:hAnsi="Times New Roman" w:cs="Times New Roman"/>
          <w:spacing w:val="-4"/>
          <w:sz w:val="28"/>
          <w:szCs w:val="28"/>
        </w:rPr>
        <w:t>;</w:t>
      </w:r>
      <w:r w:rsidRPr="00EB2A10">
        <w:rPr>
          <w:rFonts w:ascii="Times New Roman" w:hAnsi="Times New Roman" w:cs="Times New Roman"/>
          <w:spacing w:val="-4"/>
          <w:sz w:val="28"/>
          <w:szCs w:val="28"/>
        </w:rPr>
        <w:t xml:space="preserve"> выявлено снижение показателей качества жизни у этих жителей Кыргызской Республики. Впервые подробно охарактеризованы </w:t>
      </w:r>
      <w:r w:rsidR="00C9209C" w:rsidRPr="00EB2A10">
        <w:rPr>
          <w:rFonts w:ascii="Times New Roman" w:hAnsi="Times New Roman" w:cs="Times New Roman"/>
          <w:spacing w:val="-4"/>
          <w:sz w:val="28"/>
          <w:szCs w:val="28"/>
        </w:rPr>
        <w:t>у лиц, проживающих на территориях с превышением ПДК уровней загрязнителей атмосферного  воздуха</w:t>
      </w:r>
      <w:r w:rsidR="00946D52">
        <w:rPr>
          <w:rFonts w:ascii="Times New Roman" w:hAnsi="Times New Roman" w:cs="Times New Roman"/>
          <w:spacing w:val="-4"/>
          <w:sz w:val="28"/>
          <w:szCs w:val="28"/>
        </w:rPr>
        <w:t>:</w:t>
      </w:r>
      <w:r w:rsidR="00946D52" w:rsidRPr="00946D52">
        <w:rPr>
          <w:rFonts w:ascii="Times New Roman" w:hAnsi="Times New Roman" w:cs="Times New Roman"/>
          <w:spacing w:val="-4"/>
          <w:sz w:val="28"/>
          <w:szCs w:val="28"/>
        </w:rPr>
        <w:t xml:space="preserve"> </w:t>
      </w:r>
      <w:r w:rsidRPr="00EB2A10">
        <w:rPr>
          <w:rFonts w:ascii="Times New Roman" w:hAnsi="Times New Roman" w:cs="Times New Roman"/>
          <w:spacing w:val="-4"/>
          <w:sz w:val="28"/>
          <w:szCs w:val="28"/>
        </w:rPr>
        <w:t>сдвиги показателей иммунного статуса</w:t>
      </w:r>
      <w:r w:rsidR="00C9209C">
        <w:rPr>
          <w:rFonts w:ascii="Times New Roman" w:hAnsi="Times New Roman" w:cs="Times New Roman"/>
          <w:spacing w:val="-4"/>
          <w:sz w:val="28"/>
          <w:szCs w:val="28"/>
        </w:rPr>
        <w:t>-</w:t>
      </w:r>
      <w:r w:rsidR="00C9209C" w:rsidRPr="00C9209C">
        <w:rPr>
          <w:rFonts w:ascii="Times New Roman" w:hAnsi="Times New Roman" w:cs="Times New Roman"/>
          <w:spacing w:val="-4"/>
          <w:sz w:val="28"/>
          <w:szCs w:val="28"/>
        </w:rPr>
        <w:t>установлен</w:t>
      </w:r>
      <w:r w:rsidR="00946D52">
        <w:rPr>
          <w:rFonts w:ascii="Times New Roman" w:hAnsi="Times New Roman" w:cs="Times New Roman"/>
          <w:spacing w:val="-4"/>
          <w:sz w:val="28"/>
          <w:szCs w:val="28"/>
        </w:rPr>
        <w:t>о снижение количества CD3-, CD4-</w:t>
      </w:r>
      <w:r w:rsidR="00C9209C" w:rsidRPr="00C9209C">
        <w:rPr>
          <w:rFonts w:ascii="Times New Roman" w:hAnsi="Times New Roman" w:cs="Times New Roman"/>
          <w:spacing w:val="-4"/>
          <w:sz w:val="28"/>
          <w:szCs w:val="28"/>
        </w:rPr>
        <w:t>, CD8-,CD16 -</w:t>
      </w:r>
      <w:r w:rsidR="00D779D7">
        <w:rPr>
          <w:rFonts w:ascii="Times New Roman" w:hAnsi="Times New Roman" w:cs="Times New Roman"/>
          <w:spacing w:val="-4"/>
          <w:sz w:val="28"/>
          <w:szCs w:val="28"/>
        </w:rPr>
        <w:t>лимфоцитов</w:t>
      </w:r>
      <w:r w:rsidR="00C9209C" w:rsidRPr="00C9209C">
        <w:rPr>
          <w:rFonts w:ascii="Times New Roman" w:hAnsi="Times New Roman" w:cs="Times New Roman"/>
          <w:spacing w:val="-4"/>
          <w:sz w:val="28"/>
          <w:szCs w:val="28"/>
        </w:rPr>
        <w:t xml:space="preserve"> и В-лимфоцитов, повышение уровней циркулирующих иммунных комплексов в плазме крови, увеличение содержания ряда цитокинов - интерлейкинов 4, 6, 8, 17, интерферона-γ и фактора некроза опухоли-ɑ,  а также </w:t>
      </w:r>
      <w:r w:rsidR="00C9209C" w:rsidRPr="00C9209C">
        <w:rPr>
          <w:rFonts w:ascii="Times New Roman" w:hAnsi="Times New Roman" w:cs="Times New Roman"/>
          <w:spacing w:val="-4"/>
          <w:sz w:val="28"/>
          <w:szCs w:val="28"/>
        </w:rPr>
        <w:lastRenderedPageBreak/>
        <w:t>увеличение показателей НСТ-теста, коэффициента киллинга и фагоцитарного инд</w:t>
      </w:r>
      <w:r w:rsidR="00C9209C">
        <w:rPr>
          <w:rFonts w:ascii="Times New Roman" w:hAnsi="Times New Roman" w:cs="Times New Roman"/>
          <w:spacing w:val="-4"/>
          <w:sz w:val="28"/>
          <w:szCs w:val="28"/>
        </w:rPr>
        <w:t xml:space="preserve">екса; </w:t>
      </w:r>
      <w:r w:rsidRPr="00EB2A10">
        <w:rPr>
          <w:rFonts w:ascii="Times New Roman" w:hAnsi="Times New Roman" w:cs="Times New Roman"/>
          <w:spacing w:val="-4"/>
          <w:sz w:val="28"/>
          <w:szCs w:val="28"/>
        </w:rPr>
        <w:t>повышение активности</w:t>
      </w:r>
      <w:r w:rsidR="00C9209C">
        <w:rPr>
          <w:rFonts w:ascii="Times New Roman" w:hAnsi="Times New Roman" w:cs="Times New Roman"/>
          <w:spacing w:val="-4"/>
          <w:sz w:val="28"/>
          <w:szCs w:val="28"/>
        </w:rPr>
        <w:t xml:space="preserve"> сводобнорадикального окисления; у </w:t>
      </w:r>
      <w:r w:rsidRPr="00EB2A10">
        <w:rPr>
          <w:rFonts w:ascii="Times New Roman" w:hAnsi="Times New Roman" w:cs="Times New Roman"/>
          <w:spacing w:val="-4"/>
          <w:sz w:val="28"/>
          <w:szCs w:val="28"/>
        </w:rPr>
        <w:t>экспериментальных животных под влиянием  загрязнителей воздуха возникает патология органов дыхания. Впервые установлены иммунологические маркеры</w:t>
      </w:r>
      <w:r w:rsidR="00C9209C">
        <w:rPr>
          <w:rFonts w:ascii="Times New Roman" w:hAnsi="Times New Roman" w:cs="Times New Roman"/>
          <w:spacing w:val="-4"/>
          <w:sz w:val="28"/>
          <w:szCs w:val="28"/>
        </w:rPr>
        <w:t xml:space="preserve"> </w:t>
      </w:r>
      <w:r w:rsidR="00C9209C" w:rsidRPr="00C9209C">
        <w:rPr>
          <w:rFonts w:ascii="Times New Roman" w:hAnsi="Times New Roman" w:cs="Times New Roman"/>
          <w:spacing w:val="-4"/>
          <w:sz w:val="28"/>
          <w:szCs w:val="28"/>
        </w:rPr>
        <w:t>свидетельствующих о наличии повышенного риска развития аллергического ринита, у лиц, проживающих в условиях загрязненного атмосферного воздуха</w:t>
      </w:r>
      <w:r w:rsidR="00607FA2">
        <w:rPr>
          <w:rFonts w:ascii="Times New Roman" w:hAnsi="Times New Roman" w:cs="Times New Roman"/>
          <w:spacing w:val="-4"/>
          <w:sz w:val="28"/>
          <w:szCs w:val="28"/>
        </w:rPr>
        <w:t>:</w:t>
      </w:r>
      <w:r w:rsidR="00C9209C" w:rsidRPr="00C9209C">
        <w:rPr>
          <w:rFonts w:ascii="Times New Roman" w:hAnsi="Times New Roman" w:cs="Times New Roman"/>
          <w:spacing w:val="-4"/>
          <w:sz w:val="28"/>
          <w:szCs w:val="28"/>
        </w:rPr>
        <w:t xml:space="preserve"> </w:t>
      </w:r>
      <w:r w:rsidR="00D779D7">
        <w:rPr>
          <w:rFonts w:ascii="Times New Roman" w:hAnsi="Times New Roman" w:cs="Times New Roman"/>
          <w:spacing w:val="-4"/>
          <w:sz w:val="28"/>
          <w:szCs w:val="28"/>
        </w:rPr>
        <w:t xml:space="preserve">увеличение в </w:t>
      </w:r>
      <w:r w:rsidR="00C9209C" w:rsidRPr="00C9209C">
        <w:rPr>
          <w:rFonts w:ascii="Times New Roman" w:hAnsi="Times New Roman" w:cs="Times New Roman"/>
          <w:spacing w:val="-4"/>
          <w:sz w:val="28"/>
          <w:szCs w:val="28"/>
        </w:rPr>
        <w:t>периферической крови</w:t>
      </w:r>
      <w:r w:rsidR="00607FA2">
        <w:rPr>
          <w:rFonts w:ascii="Times New Roman" w:hAnsi="Times New Roman" w:cs="Times New Roman"/>
          <w:spacing w:val="-4"/>
          <w:sz w:val="28"/>
          <w:szCs w:val="28"/>
        </w:rPr>
        <w:t xml:space="preserve"> концентраций CD3+, CD4+, увеличение CD8+ лимфоцитов, </w:t>
      </w:r>
      <w:r w:rsidR="00C9209C" w:rsidRPr="00C9209C">
        <w:rPr>
          <w:rFonts w:ascii="Times New Roman" w:hAnsi="Times New Roman" w:cs="Times New Roman"/>
          <w:spacing w:val="-4"/>
          <w:sz w:val="28"/>
          <w:szCs w:val="28"/>
        </w:rPr>
        <w:t xml:space="preserve"> иммуноглобулина G, концентрации интерферона-γ, интерлейкинов 6 и 8, фактора некроза опухоли-альфа, фагоцитарного индекса,  уровня  С-реактивного белка. О повышении риска развития бронхиальной астмы у этого контингента лиц могут свидетельствовать </w:t>
      </w:r>
      <w:r w:rsidR="00946D52">
        <w:rPr>
          <w:rFonts w:ascii="Times New Roman" w:hAnsi="Times New Roman" w:cs="Times New Roman"/>
          <w:spacing w:val="-4"/>
          <w:sz w:val="28"/>
          <w:szCs w:val="28"/>
        </w:rPr>
        <w:t xml:space="preserve">повышение уровня </w:t>
      </w:r>
      <w:r w:rsidR="00C9209C" w:rsidRPr="00C9209C">
        <w:rPr>
          <w:rFonts w:ascii="Times New Roman" w:hAnsi="Times New Roman" w:cs="Times New Roman"/>
          <w:spacing w:val="-4"/>
          <w:sz w:val="28"/>
          <w:szCs w:val="28"/>
        </w:rPr>
        <w:t xml:space="preserve">следующих иммунологических параметров: </w:t>
      </w:r>
      <w:r w:rsidR="00946D52">
        <w:rPr>
          <w:rFonts w:ascii="Times New Roman" w:hAnsi="Times New Roman" w:cs="Times New Roman"/>
          <w:spacing w:val="-4"/>
          <w:sz w:val="28"/>
          <w:szCs w:val="28"/>
        </w:rPr>
        <w:t>CD3+,CD4+ ,CD20+ лимфоцитов,</w:t>
      </w:r>
      <w:r w:rsidR="00D779D7">
        <w:rPr>
          <w:rFonts w:ascii="Times New Roman" w:hAnsi="Times New Roman" w:cs="Times New Roman"/>
          <w:spacing w:val="-4"/>
          <w:sz w:val="28"/>
          <w:szCs w:val="28"/>
        </w:rPr>
        <w:t xml:space="preserve"> </w:t>
      </w:r>
      <w:r w:rsidR="00946D52">
        <w:rPr>
          <w:rFonts w:ascii="Times New Roman" w:hAnsi="Times New Roman" w:cs="Times New Roman"/>
          <w:spacing w:val="-4"/>
          <w:sz w:val="28"/>
          <w:szCs w:val="28"/>
        </w:rPr>
        <w:t>иммуноглобулинов G и  E,</w:t>
      </w:r>
      <w:r w:rsidR="00946D52" w:rsidRPr="00946D52">
        <w:rPr>
          <w:rFonts w:ascii="Times New Roman" w:hAnsi="Times New Roman" w:cs="Times New Roman"/>
          <w:spacing w:val="-4"/>
          <w:sz w:val="28"/>
          <w:szCs w:val="28"/>
        </w:rPr>
        <w:t xml:space="preserve"> </w:t>
      </w:r>
      <w:r w:rsidR="00C9209C" w:rsidRPr="00C9209C">
        <w:rPr>
          <w:rFonts w:ascii="Times New Roman" w:hAnsi="Times New Roman" w:cs="Times New Roman"/>
          <w:spacing w:val="-4"/>
          <w:sz w:val="28"/>
          <w:szCs w:val="28"/>
        </w:rPr>
        <w:t>циркулиру</w:t>
      </w:r>
      <w:r w:rsidR="00946D52">
        <w:rPr>
          <w:rFonts w:ascii="Times New Roman" w:hAnsi="Times New Roman" w:cs="Times New Roman"/>
          <w:spacing w:val="-4"/>
          <w:sz w:val="28"/>
          <w:szCs w:val="28"/>
        </w:rPr>
        <w:t xml:space="preserve">ющих иммунных комплексов, </w:t>
      </w:r>
      <w:r w:rsidR="00C9209C" w:rsidRPr="00C9209C">
        <w:rPr>
          <w:rFonts w:ascii="Times New Roman" w:hAnsi="Times New Roman" w:cs="Times New Roman"/>
          <w:spacing w:val="-4"/>
          <w:sz w:val="28"/>
          <w:szCs w:val="28"/>
        </w:rPr>
        <w:t>интерлейкинов 4, 6, 8, 17, фактора некроза опухоли-альфа,  С-реактивного белка.</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Практическая значимость полученных результатов.</w:t>
      </w:r>
      <w:r w:rsidRPr="00E75DE8">
        <w:rPr>
          <w:rFonts w:ascii="Times New Roman" w:hAnsi="Times New Roman" w:cs="Times New Roman"/>
          <w:sz w:val="28"/>
          <w:szCs w:val="28"/>
        </w:rPr>
        <w:t xml:space="preserve"> Полученные данные дополнят теоретический материал о механизмах развития </w:t>
      </w:r>
      <w:r w:rsidR="00D779D7">
        <w:rPr>
          <w:rFonts w:ascii="Times New Roman" w:hAnsi="Times New Roman" w:cs="Times New Roman"/>
          <w:sz w:val="28"/>
          <w:szCs w:val="28"/>
        </w:rPr>
        <w:t>аллергическо-</w:t>
      </w:r>
      <w:r w:rsidRPr="00E75DE8">
        <w:rPr>
          <w:rFonts w:ascii="Times New Roman" w:hAnsi="Times New Roman" w:cs="Times New Roman"/>
          <w:sz w:val="28"/>
          <w:szCs w:val="28"/>
        </w:rPr>
        <w:t>воспалительных заболеваний органов дыхания при воздействии загрязненного атмосферного воздуха, поступающих из промышленных источников. Результаты исследований могут быть использованы для дальнейших клинических исследований в целях совершенствования методов ведения пациентов и профилактики нарушений, где в основе патогенеза воспалительных заболеваний органов дыхания лежит изменение иммунного статуса  у лиц, проживающих в районах с повышенным уровнем атмосферного загрязнения. Так же могут быть использованы  в лекционных и практических занятиях по патологической физиологии для студентов медицинских высших учебных заведений.   Результаты работы внедрены в учебный процесс кафедры патологии, базисной и клинической фармакологии международного медицинского факультета и кафедры общей, клинической биохимии и патофизиологии медицинского факультета Ошского государственного университета, при чтении лекции по модулю «Патофизиология дыхательной системы» и используются на практических занятиях для студентов.</w:t>
      </w:r>
    </w:p>
    <w:p w:rsidR="00E75DE8" w:rsidRPr="00E75DE8" w:rsidRDefault="00E75DE8" w:rsidP="00E75DE8">
      <w:pPr>
        <w:tabs>
          <w:tab w:val="left" w:pos="1134"/>
        </w:tabs>
        <w:spacing w:after="0" w:line="240" w:lineRule="auto"/>
        <w:ind w:firstLine="709"/>
        <w:jc w:val="both"/>
        <w:rPr>
          <w:rFonts w:ascii="Times New Roman" w:hAnsi="Times New Roman" w:cs="Times New Roman"/>
          <w:b/>
          <w:sz w:val="28"/>
          <w:szCs w:val="28"/>
        </w:rPr>
      </w:pPr>
      <w:r w:rsidRPr="00E75DE8">
        <w:rPr>
          <w:rFonts w:ascii="Times New Roman" w:hAnsi="Times New Roman" w:cs="Times New Roman"/>
          <w:b/>
          <w:sz w:val="28"/>
          <w:szCs w:val="28"/>
        </w:rPr>
        <w:t>Основные положения диссертации, выносимые на защиту:</w:t>
      </w:r>
    </w:p>
    <w:p w:rsidR="00EB2A10"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1.   В  атмосферном воздухе в районах с. Гулбар, где расположен цементный завод, наблюдается превышение предельно допустимых концентраций</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 xml:space="preserve"> загрязнителей</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 xml:space="preserve"> по </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всем</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определяемым</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 xml:space="preserve"> веществам:</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 xml:space="preserve"> пыли</w:t>
      </w:r>
      <w:r w:rsidR="00EB2A10">
        <w:rPr>
          <w:rFonts w:ascii="Times New Roman" w:hAnsi="Times New Roman" w:cs="Times New Roman"/>
          <w:sz w:val="28"/>
          <w:szCs w:val="28"/>
        </w:rPr>
        <w:t xml:space="preserve">  </w:t>
      </w:r>
      <w:r w:rsidRPr="00E75DE8">
        <w:rPr>
          <w:rFonts w:ascii="Times New Roman" w:hAnsi="Times New Roman" w:cs="Times New Roman"/>
          <w:sz w:val="28"/>
          <w:szCs w:val="28"/>
        </w:rPr>
        <w:t xml:space="preserve"> и </w:t>
      </w:r>
    </w:p>
    <w:p w:rsidR="00E75DE8" w:rsidRPr="00E75DE8" w:rsidRDefault="00E75DE8" w:rsidP="00EB2A10">
      <w:pPr>
        <w:tabs>
          <w:tab w:val="left" w:pos="1134"/>
        </w:tabs>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твердым выбросам, диоксиду серы, окиси азота,  окиси углерода и  сероводорода. В районе г. Ош, где наблюдается высокий автомобильный трафик, также уровни всех загрязнителей существенно выше уровней ПДК. В то же время в с. Папан концентрации определяемых веществ не </w:t>
      </w:r>
      <w:r w:rsidR="002508F9">
        <w:rPr>
          <w:rFonts w:ascii="Times New Roman" w:hAnsi="Times New Roman" w:cs="Times New Roman"/>
          <w:sz w:val="28"/>
          <w:szCs w:val="28"/>
        </w:rPr>
        <w:t xml:space="preserve">                   </w:t>
      </w:r>
      <w:r w:rsidRPr="00E75DE8">
        <w:rPr>
          <w:rFonts w:ascii="Times New Roman" w:hAnsi="Times New Roman" w:cs="Times New Roman"/>
          <w:sz w:val="28"/>
          <w:szCs w:val="28"/>
        </w:rPr>
        <w:t xml:space="preserve">превышают ПДК. </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2. У лиц, проживающих в различных районах Кыргызской Республики с различающейся степенью атмосферного загрязнения, наблюдаются существенные различия по показателям жалоб, свидетельствующих о патологии верхних дыхательных путей и аллергизации организма. При этом у жителей районов с повышенными уровнями веществ-загрязнителей атмосферного воздуха (в районе цементного завода и в условиях высокой плотности трафика) наблюдаются отклонения от нормы показателей инструментальных  и лабораторных исследований, в частности показателей функции внешнего дыхания, показателей общего анализа крови,  иммунного статуса, активности свободнорадикального окисления в конденсате выдыхаемого воздуха, показателей выраженности воспаления. </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3.Установлено, что показатели иммунного статуса организма могут быть рассмотрены в качестве маркеров или прогностических факторов развития аллергического ринита или бронхиальной астмы в условиях проживания в загрязненной атмосфере.</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Личный вклад соискателя.</w:t>
      </w:r>
      <w:r w:rsidRPr="00E75DE8">
        <w:rPr>
          <w:rFonts w:ascii="Times New Roman" w:hAnsi="Times New Roman" w:cs="Times New Roman"/>
          <w:sz w:val="28"/>
          <w:szCs w:val="28"/>
        </w:rPr>
        <w:t xml:space="preserve"> </w:t>
      </w:r>
      <w:r w:rsidR="00CF0C43" w:rsidRPr="00CF0C43">
        <w:rPr>
          <w:rFonts w:ascii="Times New Roman" w:hAnsi="Times New Roman" w:cs="Times New Roman"/>
          <w:sz w:val="28"/>
          <w:szCs w:val="28"/>
        </w:rPr>
        <w:t xml:space="preserve">Личный вклад заключается в непосредственном </w:t>
      </w:r>
      <w:r w:rsidR="00D779D7">
        <w:rPr>
          <w:rFonts w:ascii="Times New Roman" w:hAnsi="Times New Roman" w:cs="Times New Roman"/>
          <w:sz w:val="28"/>
          <w:szCs w:val="28"/>
        </w:rPr>
        <w:t xml:space="preserve">выполнении </w:t>
      </w:r>
      <w:r w:rsidR="00CF0C43" w:rsidRPr="00CF0C43">
        <w:rPr>
          <w:rFonts w:ascii="Times New Roman" w:hAnsi="Times New Roman" w:cs="Times New Roman"/>
          <w:sz w:val="28"/>
          <w:szCs w:val="28"/>
        </w:rPr>
        <w:t>на всех этапах под</w:t>
      </w:r>
      <w:r w:rsidR="00CF0C43">
        <w:rPr>
          <w:rFonts w:ascii="Times New Roman" w:hAnsi="Times New Roman" w:cs="Times New Roman"/>
          <w:sz w:val="28"/>
          <w:szCs w:val="28"/>
        </w:rPr>
        <w:t>готовки диссертационной работы, а так же</w:t>
      </w:r>
      <w:r w:rsidR="00D779D7">
        <w:rPr>
          <w:rFonts w:ascii="Times New Roman" w:hAnsi="Times New Roman" w:cs="Times New Roman"/>
          <w:sz w:val="28"/>
          <w:szCs w:val="28"/>
        </w:rPr>
        <w:t xml:space="preserve"> в </w:t>
      </w:r>
      <w:r w:rsidR="00CF0C43">
        <w:rPr>
          <w:rFonts w:ascii="Times New Roman" w:hAnsi="Times New Roman" w:cs="Times New Roman"/>
          <w:sz w:val="28"/>
          <w:szCs w:val="28"/>
        </w:rPr>
        <w:t xml:space="preserve"> </w:t>
      </w:r>
      <w:r w:rsidR="00D779D7">
        <w:rPr>
          <w:rFonts w:ascii="Times New Roman" w:hAnsi="Times New Roman" w:cs="Times New Roman"/>
          <w:sz w:val="28"/>
          <w:szCs w:val="28"/>
        </w:rPr>
        <w:t xml:space="preserve">проведении экспериментальной части </w:t>
      </w:r>
      <w:r w:rsidRPr="00E75DE8">
        <w:rPr>
          <w:rFonts w:ascii="Times New Roman" w:hAnsi="Times New Roman" w:cs="Times New Roman"/>
          <w:sz w:val="28"/>
          <w:szCs w:val="28"/>
        </w:rPr>
        <w:t>исследования.</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Апробация</w:t>
      </w:r>
      <w:r w:rsidRPr="00E75DE8">
        <w:rPr>
          <w:rFonts w:ascii="Times New Roman" w:hAnsi="Times New Roman" w:cs="Times New Roman"/>
          <w:b/>
          <w:sz w:val="28"/>
          <w:szCs w:val="28"/>
        </w:rPr>
        <w:t xml:space="preserve"> результатов диссертации.</w:t>
      </w:r>
      <w:r w:rsidRPr="00E75DE8">
        <w:rPr>
          <w:rFonts w:ascii="Times New Roman" w:hAnsi="Times New Roman" w:cs="Times New Roman"/>
          <w:sz w:val="28"/>
          <w:szCs w:val="28"/>
        </w:rPr>
        <w:t xml:space="preserve"> Основные положения диссертационной работы доложены на: научно-практической конференции с международным участием,  организованной министерством образования науки КР, ОШГУ и Международной Высшей Школой Медицины «Innovations in the field of Medical Education and Science», г.</w:t>
      </w:r>
      <w:r>
        <w:rPr>
          <w:rFonts w:ascii="Times New Roman" w:hAnsi="Times New Roman" w:cs="Times New Roman"/>
          <w:sz w:val="28"/>
          <w:szCs w:val="28"/>
        </w:rPr>
        <w:t xml:space="preserve"> </w:t>
      </w:r>
      <w:r w:rsidRPr="00E75DE8">
        <w:rPr>
          <w:rFonts w:ascii="Times New Roman" w:hAnsi="Times New Roman" w:cs="Times New Roman"/>
          <w:sz w:val="28"/>
          <w:szCs w:val="28"/>
        </w:rPr>
        <w:t>Ош,</w:t>
      </w:r>
      <w:r>
        <w:rPr>
          <w:rFonts w:ascii="Times New Roman" w:hAnsi="Times New Roman" w:cs="Times New Roman"/>
          <w:sz w:val="28"/>
          <w:szCs w:val="28"/>
        </w:rPr>
        <w:t xml:space="preserve"> </w:t>
      </w:r>
      <w:r w:rsidRPr="00E75DE8">
        <w:rPr>
          <w:rFonts w:ascii="Times New Roman" w:hAnsi="Times New Roman" w:cs="Times New Roman"/>
          <w:sz w:val="28"/>
          <w:szCs w:val="28"/>
        </w:rPr>
        <w:t xml:space="preserve">Кыргызстан (27.05.2022);  на международной научно-образовательной конференции «Разработка и внедрение инновационных методов в образовании и науке в университетах, финансируемых Европейской комиссией по программе Erasmus Plus» </w:t>
      </w:r>
      <w:r>
        <w:rPr>
          <w:rFonts w:ascii="Times New Roman" w:hAnsi="Times New Roman" w:cs="Times New Roman"/>
          <w:sz w:val="28"/>
          <w:szCs w:val="28"/>
        </w:rPr>
        <w:t xml:space="preserve">                     </w:t>
      </w:r>
      <w:r w:rsidRPr="00E75DE8">
        <w:rPr>
          <w:rFonts w:ascii="Times New Roman" w:hAnsi="Times New Roman" w:cs="Times New Roman"/>
          <w:spacing w:val="-4"/>
          <w:sz w:val="28"/>
          <w:szCs w:val="28"/>
        </w:rPr>
        <w:t>(11-12 ноябрь 2022 г)  Алма-Ата, Казахстан; а так же на IV Международной научно-практической конференции  «НИМСИ-ключ к науке» (30-ноябрь 2022 г)</w:t>
      </w:r>
      <w:r w:rsidRPr="00E75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5DE8">
        <w:rPr>
          <w:rFonts w:ascii="Times New Roman" w:hAnsi="Times New Roman" w:cs="Times New Roman"/>
          <w:sz w:val="28"/>
          <w:szCs w:val="28"/>
        </w:rPr>
        <w:t>г.</w:t>
      </w:r>
      <w:r>
        <w:rPr>
          <w:rFonts w:ascii="Times New Roman" w:hAnsi="Times New Roman" w:cs="Times New Roman"/>
          <w:sz w:val="28"/>
          <w:szCs w:val="28"/>
        </w:rPr>
        <w:t xml:space="preserve"> </w:t>
      </w:r>
      <w:r w:rsidRPr="00E75DE8">
        <w:rPr>
          <w:rFonts w:ascii="Times New Roman" w:hAnsi="Times New Roman" w:cs="Times New Roman"/>
          <w:sz w:val="28"/>
          <w:szCs w:val="28"/>
        </w:rPr>
        <w:t>Джалал-Абад, Кыргызстан.</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Полнота отражения результатов диссертации в публикациях.</w:t>
      </w:r>
      <w:r w:rsidRPr="00E75DE8">
        <w:rPr>
          <w:rFonts w:ascii="Times New Roman" w:hAnsi="Times New Roman" w:cs="Times New Roman"/>
          <w:sz w:val="28"/>
          <w:szCs w:val="28"/>
        </w:rPr>
        <w:t xml:space="preserve"> По теме диссертации опубликовано 7 печатных работ, в том числе 2статьи в рецензируемых научны</w:t>
      </w:r>
      <w:r w:rsidR="00CF514E">
        <w:rPr>
          <w:rFonts w:ascii="Times New Roman" w:hAnsi="Times New Roman" w:cs="Times New Roman"/>
          <w:sz w:val="28"/>
          <w:szCs w:val="28"/>
        </w:rPr>
        <w:t xml:space="preserve">х журналах, рекомендованные НАКПКР, </w:t>
      </w:r>
      <w:r w:rsidRPr="00E75DE8">
        <w:rPr>
          <w:rFonts w:ascii="Times New Roman" w:hAnsi="Times New Roman" w:cs="Times New Roman"/>
          <w:sz w:val="28"/>
          <w:szCs w:val="28"/>
        </w:rPr>
        <w:t>3 с</w:t>
      </w:r>
      <w:r>
        <w:rPr>
          <w:rFonts w:ascii="Times New Roman" w:hAnsi="Times New Roman" w:cs="Times New Roman"/>
          <w:sz w:val="28"/>
          <w:szCs w:val="28"/>
        </w:rPr>
        <w:t xml:space="preserve">татьи  в научных журналах с </w:t>
      </w:r>
      <w:r w:rsidRPr="00D7448D">
        <w:rPr>
          <w:rFonts w:ascii="Times New Roman" w:hAnsi="Times New Roman"/>
          <w:bCs/>
          <w:sz w:val="28"/>
          <w:szCs w:val="28"/>
        </w:rPr>
        <w:t>импакт</w:t>
      </w:r>
      <w:r w:rsidRPr="00E75DE8">
        <w:rPr>
          <w:rFonts w:ascii="Times New Roman" w:hAnsi="Times New Roman" w:cs="Times New Roman"/>
          <w:sz w:val="28"/>
          <w:szCs w:val="28"/>
        </w:rPr>
        <w:t>-фактором выше 0.1  индексируемых системой  РИНЦ, 2 статьи опубликованы в  зарубежных научных изданиях, входящих в международную базу данных SCOPUS.</w:t>
      </w:r>
    </w:p>
    <w:p w:rsidR="00E75DE8" w:rsidRPr="00E75DE8" w:rsidRDefault="00E75DE8" w:rsidP="00E75DE8">
      <w:pPr>
        <w:tabs>
          <w:tab w:val="left" w:pos="1134"/>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Структура и объем диссертации.</w:t>
      </w:r>
      <w:r w:rsidRPr="00E75DE8">
        <w:rPr>
          <w:rFonts w:ascii="Times New Roman" w:hAnsi="Times New Roman" w:cs="Times New Roman"/>
          <w:sz w:val="28"/>
          <w:szCs w:val="28"/>
        </w:rPr>
        <w:t xml:space="preserve"> Диссертационная работа состоит из введения, обзора литературы, главы с описанием материалом и методов исследования, главы с описанием полученных результатов, заключения, выводов, практических рекомендаций и списка литературы.  Общий</w:t>
      </w:r>
      <w:r w:rsidR="002508F9">
        <w:rPr>
          <w:rFonts w:ascii="Times New Roman" w:hAnsi="Times New Roman" w:cs="Times New Roman"/>
          <w:sz w:val="28"/>
          <w:szCs w:val="28"/>
        </w:rPr>
        <w:t xml:space="preserve"> объем диссертации изложен на 146</w:t>
      </w:r>
      <w:r w:rsidRPr="00E75DE8">
        <w:rPr>
          <w:rFonts w:ascii="Times New Roman" w:hAnsi="Times New Roman" w:cs="Times New Roman"/>
          <w:sz w:val="28"/>
          <w:szCs w:val="28"/>
        </w:rPr>
        <w:t xml:space="preserve"> страницах, включает 33 рисунков и 15 таблиц</w:t>
      </w:r>
      <w:r w:rsidR="00CF0C43">
        <w:rPr>
          <w:rFonts w:ascii="Times New Roman" w:hAnsi="Times New Roman" w:cs="Times New Roman"/>
          <w:sz w:val="28"/>
          <w:szCs w:val="28"/>
        </w:rPr>
        <w:t xml:space="preserve">. </w:t>
      </w:r>
      <w:r w:rsidR="00CF0C43">
        <w:rPr>
          <w:rFonts w:ascii="Times New Roman" w:hAnsi="Times New Roman" w:cs="Times New Roman"/>
          <w:sz w:val="28"/>
          <w:szCs w:val="28"/>
        </w:rPr>
        <w:lastRenderedPageBreak/>
        <w:t>Список литературы включает 206</w:t>
      </w:r>
      <w:r w:rsidRPr="00E75DE8">
        <w:rPr>
          <w:rFonts w:ascii="Times New Roman" w:hAnsi="Times New Roman" w:cs="Times New Roman"/>
          <w:sz w:val="28"/>
          <w:szCs w:val="28"/>
        </w:rPr>
        <w:t xml:space="preserve"> источника, в </w:t>
      </w:r>
      <w:r w:rsidR="00CF0C43">
        <w:rPr>
          <w:rFonts w:ascii="Times New Roman" w:hAnsi="Times New Roman" w:cs="Times New Roman"/>
          <w:sz w:val="28"/>
          <w:szCs w:val="28"/>
        </w:rPr>
        <w:t>том числе 53 русскоязычных и  153</w:t>
      </w:r>
      <w:r w:rsidRPr="00E75DE8">
        <w:rPr>
          <w:rFonts w:ascii="Times New Roman" w:hAnsi="Times New Roman" w:cs="Times New Roman"/>
          <w:sz w:val="28"/>
          <w:szCs w:val="28"/>
        </w:rPr>
        <w:t xml:space="preserve"> англоязычных публикаций.</w:t>
      </w:r>
    </w:p>
    <w:p w:rsidR="00E75DE8" w:rsidRP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                                        </w:t>
      </w:r>
    </w:p>
    <w:p w:rsidR="00E75DE8" w:rsidRPr="00E75DE8" w:rsidRDefault="00E75DE8" w:rsidP="00E75DE8">
      <w:pPr>
        <w:spacing w:after="0" w:line="240" w:lineRule="auto"/>
        <w:jc w:val="both"/>
        <w:rPr>
          <w:rFonts w:ascii="Times New Roman" w:hAnsi="Times New Roman" w:cs="Times New Roman"/>
          <w:sz w:val="28"/>
          <w:szCs w:val="28"/>
        </w:rPr>
      </w:pPr>
    </w:p>
    <w:p w:rsidR="00DA730D"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                                    </w:t>
      </w:r>
    </w:p>
    <w:p w:rsidR="00E75DE8" w:rsidRPr="00E75DE8" w:rsidRDefault="00DA730D" w:rsidP="00E75DE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75DE8" w:rsidRPr="00E75DE8">
        <w:rPr>
          <w:rFonts w:ascii="Times New Roman" w:hAnsi="Times New Roman" w:cs="Times New Roman"/>
          <w:sz w:val="28"/>
          <w:szCs w:val="28"/>
        </w:rPr>
        <w:t xml:space="preserve"> </w:t>
      </w:r>
      <w:r w:rsidR="00E75DE8" w:rsidRPr="00E75DE8">
        <w:rPr>
          <w:rFonts w:ascii="Times New Roman" w:hAnsi="Times New Roman" w:cs="Times New Roman"/>
          <w:b/>
          <w:sz w:val="28"/>
          <w:szCs w:val="28"/>
        </w:rPr>
        <w:t>ОСНОВНОЕ СОДЕРЖАНИЕ РАБОТЫ</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b/>
          <w:sz w:val="28"/>
          <w:szCs w:val="28"/>
        </w:rPr>
        <w:t>Во введении</w:t>
      </w:r>
      <w:r w:rsidRPr="00E75DE8">
        <w:rPr>
          <w:rFonts w:ascii="Times New Roman" w:hAnsi="Times New Roman" w:cs="Times New Roman"/>
          <w:sz w:val="28"/>
          <w:szCs w:val="28"/>
        </w:rPr>
        <w:t xml:space="preserve"> обоснована актуальность темы исследования, представлены цель и задачи, научная новизна, практическая значимость полученных результатов и основные положения диссертации, выносимые на защиту.</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B2A10">
        <w:rPr>
          <w:rFonts w:ascii="Times New Roman" w:hAnsi="Times New Roman" w:cs="Times New Roman"/>
          <w:b/>
          <w:spacing w:val="-6"/>
          <w:sz w:val="28"/>
          <w:szCs w:val="28"/>
        </w:rPr>
        <w:t>Глава 1. «Роль загрязнения атмосферы в этиологии и патогенезе заболеваний системы органов дыхания (обзор литературы)».</w:t>
      </w:r>
      <w:r w:rsidRPr="00EB2A10">
        <w:rPr>
          <w:rFonts w:ascii="Times New Roman" w:hAnsi="Times New Roman" w:cs="Times New Roman"/>
          <w:spacing w:val="-6"/>
          <w:sz w:val="28"/>
          <w:szCs w:val="28"/>
        </w:rPr>
        <w:t xml:space="preserve">  Представлен обзор научной литературы по воздействию загрязнителей атмсоферного воздуха на  организм человека и  их  анализ.   Были  обобщены сведения  о влиянии   первичных и вторичных загрязнителей атмосферного воздух на  респираторную    систему,     в    частности,     на    течение   воспалительных заболеваний органов дыхания. Итоговый анализ литературных источников позволил целенаправленно обосновать актуальность выбранного направления диссертационной работы и конкретизировать задачи исследования</w:t>
      </w:r>
      <w:r w:rsidRPr="00E75DE8">
        <w:rPr>
          <w:rFonts w:ascii="Times New Roman" w:hAnsi="Times New Roman" w:cs="Times New Roman"/>
          <w:sz w:val="28"/>
          <w:szCs w:val="28"/>
        </w:rPr>
        <w:t>.</w:t>
      </w:r>
    </w:p>
    <w:p w:rsidR="00E75DE8" w:rsidRPr="00EB2A10" w:rsidRDefault="00E75DE8" w:rsidP="00E75DE8">
      <w:pPr>
        <w:spacing w:after="0" w:line="240" w:lineRule="auto"/>
        <w:ind w:firstLine="709"/>
        <w:jc w:val="both"/>
        <w:rPr>
          <w:rFonts w:ascii="Times New Roman" w:hAnsi="Times New Roman" w:cs="Times New Roman"/>
          <w:spacing w:val="-6"/>
          <w:sz w:val="28"/>
          <w:szCs w:val="28"/>
        </w:rPr>
      </w:pPr>
      <w:r w:rsidRPr="00EB2A10">
        <w:rPr>
          <w:rFonts w:ascii="Times New Roman" w:hAnsi="Times New Roman" w:cs="Times New Roman"/>
          <w:b/>
          <w:spacing w:val="-6"/>
          <w:sz w:val="28"/>
          <w:szCs w:val="28"/>
        </w:rPr>
        <w:t xml:space="preserve">Глава 2. Материалы и методы исследования. </w:t>
      </w:r>
      <w:r w:rsidRPr="00EB2A10">
        <w:rPr>
          <w:rFonts w:ascii="Times New Roman" w:hAnsi="Times New Roman" w:cs="Times New Roman"/>
          <w:spacing w:val="-6"/>
          <w:sz w:val="28"/>
          <w:szCs w:val="28"/>
        </w:rPr>
        <w:t xml:space="preserve">Исследование проводилось в соответствии с принципами Хельсинской декларации (WMA, 2000). </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i/>
          <w:sz w:val="28"/>
          <w:szCs w:val="28"/>
        </w:rPr>
        <w:t>Объект исследования.</w:t>
      </w:r>
      <w:r w:rsidRPr="00E75DE8">
        <w:rPr>
          <w:rFonts w:ascii="Times New Roman" w:hAnsi="Times New Roman" w:cs="Times New Roman"/>
          <w:sz w:val="28"/>
          <w:szCs w:val="28"/>
        </w:rPr>
        <w:t xml:space="preserve"> Обследование 212 человек, из них  проживающих в с.Папан (n=68), в с.</w:t>
      </w:r>
      <w:r w:rsidR="00143E10">
        <w:rPr>
          <w:rFonts w:ascii="Times New Roman" w:hAnsi="Times New Roman" w:cs="Times New Roman"/>
          <w:sz w:val="28"/>
          <w:szCs w:val="28"/>
        </w:rPr>
        <w:t>Гулбаар</w:t>
      </w:r>
      <w:r w:rsidRPr="00E75DE8">
        <w:rPr>
          <w:rFonts w:ascii="Times New Roman" w:hAnsi="Times New Roman" w:cs="Times New Roman"/>
          <w:sz w:val="28"/>
          <w:szCs w:val="28"/>
        </w:rPr>
        <w:t xml:space="preserve"> (n=74), в г.Ош (n=70); гигиеническая оценка атмосферного воздуха территории КР на примере с.Папан (контрольная группа), с.</w:t>
      </w:r>
      <w:r w:rsidR="00143E10">
        <w:rPr>
          <w:rFonts w:ascii="Times New Roman" w:hAnsi="Times New Roman" w:cs="Times New Roman"/>
          <w:sz w:val="28"/>
          <w:szCs w:val="28"/>
        </w:rPr>
        <w:t>Гулбаар</w:t>
      </w:r>
      <w:r w:rsidRPr="00E75DE8">
        <w:rPr>
          <w:rFonts w:ascii="Times New Roman" w:hAnsi="Times New Roman" w:cs="Times New Roman"/>
          <w:sz w:val="28"/>
          <w:szCs w:val="28"/>
        </w:rPr>
        <w:t xml:space="preserve"> (зона техногенного загрязнения), г.Ош (зона плотного </w:t>
      </w:r>
      <w:r w:rsidRPr="00E75DE8">
        <w:rPr>
          <w:rFonts w:ascii="Times New Roman" w:hAnsi="Times New Roman" w:cs="Times New Roman"/>
          <w:spacing w:val="-4"/>
          <w:sz w:val="28"/>
          <w:szCs w:val="28"/>
        </w:rPr>
        <w:t>трафика). Для осуществления поставленных задач проведена экспериментальная</w:t>
      </w:r>
      <w:r w:rsidRPr="00E75DE8">
        <w:rPr>
          <w:rFonts w:ascii="Times New Roman" w:hAnsi="Times New Roman" w:cs="Times New Roman"/>
          <w:sz w:val="28"/>
          <w:szCs w:val="28"/>
        </w:rPr>
        <w:t xml:space="preserve"> работа, где использовано 30 беспородных крыс массой 150-250 гр. Животные были подразделены на 3 группы:  I – контрольная группа, где крысы не подвергались затравке (n=10); II – в группу вошли крысы, где производилась затравка выхлопными газами двигателя (n=10); III группа – крысы, подвергшиеся  затравке пылью и частицами (n=10). </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i/>
          <w:sz w:val="28"/>
          <w:szCs w:val="28"/>
        </w:rPr>
        <w:t>Предмет исследования:</w:t>
      </w:r>
      <w:r w:rsidR="00267FF5">
        <w:rPr>
          <w:rFonts w:ascii="Times New Roman" w:hAnsi="Times New Roman" w:cs="Times New Roman"/>
          <w:sz w:val="28"/>
          <w:szCs w:val="28"/>
        </w:rPr>
        <w:t xml:space="preserve"> И</w:t>
      </w:r>
      <w:r w:rsidRPr="00E75DE8">
        <w:rPr>
          <w:rFonts w:ascii="Times New Roman" w:hAnsi="Times New Roman" w:cs="Times New Roman"/>
          <w:sz w:val="28"/>
          <w:szCs w:val="28"/>
        </w:rPr>
        <w:t>зучение механизмов развития воспалительных заболеваний дыхательной системы при воздействии загрязнителей атмосферного воздуха, установление иммунологических маркеров повышенного риска развития аллергического ринита и бронхиальной астмы у лиц, проживающих в условиях загрязненного атмосферного воздуха.</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i/>
          <w:sz w:val="28"/>
          <w:szCs w:val="28"/>
        </w:rPr>
        <w:t>Методы исследования.</w:t>
      </w:r>
      <w:r w:rsidRPr="00E75DE8">
        <w:rPr>
          <w:rFonts w:ascii="Times New Roman" w:hAnsi="Times New Roman" w:cs="Times New Roman"/>
          <w:sz w:val="28"/>
          <w:szCs w:val="28"/>
        </w:rPr>
        <w:t xml:space="preserve"> Всем обследуемым, включенным в исследование был произведен стандартный набор лабораторных исследований в объеме общего и биохимического анализов крови, общего анализа. Был выполнен сбор конденсата выдыхаемого воздуха (КВВ) по методу Белова Г.В. и др. (2005), в котором определяли показатели активности свободнорадикального окисления </w:t>
      </w:r>
      <w:r w:rsidRPr="00E75DE8">
        <w:rPr>
          <w:rFonts w:ascii="Times New Roman" w:hAnsi="Times New Roman" w:cs="Times New Roman"/>
          <w:sz w:val="28"/>
          <w:szCs w:val="28"/>
        </w:rPr>
        <w:lastRenderedPageBreak/>
        <w:t xml:space="preserve">(уровни суммарных липидов, гидроперекисей, диеновых конъюгат, а также оценивали  окислительный индекс) методом спектрофотометрии. Оценку иммунного статуса обследуемых выполняли путем иммунофенотипирования </w:t>
      </w:r>
      <w:r>
        <w:rPr>
          <w:rFonts w:ascii="Times New Roman" w:hAnsi="Times New Roman" w:cs="Times New Roman"/>
          <w:sz w:val="28"/>
          <w:szCs w:val="28"/>
        </w:rPr>
        <w:t xml:space="preserve">   </w:t>
      </w:r>
      <w:r w:rsidRPr="00E75DE8">
        <w:rPr>
          <w:rFonts w:ascii="Times New Roman" w:hAnsi="Times New Roman" w:cs="Times New Roman"/>
          <w:sz w:val="28"/>
          <w:szCs w:val="28"/>
        </w:rPr>
        <w:t>Т-лимфоцитов с определением основных субпопуляций ме</w:t>
      </w:r>
      <w:r w:rsidR="00D779D7">
        <w:rPr>
          <w:rFonts w:ascii="Times New Roman" w:hAnsi="Times New Roman" w:cs="Times New Roman"/>
          <w:sz w:val="28"/>
          <w:szCs w:val="28"/>
        </w:rPr>
        <w:t>тодом проточной цитофлуориметрии</w:t>
      </w:r>
      <w:r w:rsidRPr="00E75DE8">
        <w:rPr>
          <w:rFonts w:ascii="Times New Roman" w:hAnsi="Times New Roman" w:cs="Times New Roman"/>
          <w:sz w:val="28"/>
          <w:szCs w:val="28"/>
        </w:rPr>
        <w:t>. Определение параметров гуморального иммунитета (Ig A, Ig M, Ig G, Ig E) проводили аналитическим методом иммунотурбидиметрии, оценивали также уровни циркулирующих иммунных комплексов (ЦИК) методом иммуноферментного и спектрофотометра. Определение уровней воспалительных биомаркеров – интерферона-гамма, интерлейкинов (ИЛ)-4, 6, 8, 17 и факт</w:t>
      </w:r>
      <w:r w:rsidR="00CF15A3">
        <w:rPr>
          <w:rFonts w:ascii="Times New Roman" w:hAnsi="Times New Roman" w:cs="Times New Roman"/>
          <w:sz w:val="28"/>
          <w:szCs w:val="28"/>
        </w:rPr>
        <w:t>ора некроза опухоли (ФНО-альфа) - иммуноферментный анализ</w:t>
      </w:r>
      <w:r w:rsidRPr="00E75DE8">
        <w:rPr>
          <w:rFonts w:ascii="Times New Roman" w:hAnsi="Times New Roman" w:cs="Times New Roman"/>
          <w:sz w:val="28"/>
          <w:szCs w:val="28"/>
        </w:rPr>
        <w:t xml:space="preserve">. </w:t>
      </w:r>
      <w:r w:rsidR="00CF15A3">
        <w:rPr>
          <w:rFonts w:ascii="Times New Roman" w:hAnsi="Times New Roman" w:cs="Times New Roman"/>
          <w:sz w:val="28"/>
          <w:szCs w:val="28"/>
        </w:rPr>
        <w:t>HCT-</w:t>
      </w:r>
      <w:r w:rsidRPr="00E75DE8">
        <w:rPr>
          <w:rFonts w:ascii="Times New Roman" w:hAnsi="Times New Roman" w:cs="Times New Roman"/>
          <w:sz w:val="28"/>
          <w:szCs w:val="28"/>
        </w:rPr>
        <w:t xml:space="preserve"> </w:t>
      </w:r>
      <w:r w:rsidR="00CF15A3">
        <w:rPr>
          <w:rFonts w:ascii="Times New Roman" w:hAnsi="Times New Roman" w:cs="Times New Roman"/>
          <w:sz w:val="28"/>
          <w:szCs w:val="28"/>
        </w:rPr>
        <w:t xml:space="preserve">тест </w:t>
      </w:r>
      <w:r w:rsidRPr="00E75DE8">
        <w:rPr>
          <w:rFonts w:ascii="Times New Roman" w:hAnsi="Times New Roman" w:cs="Times New Roman"/>
          <w:sz w:val="28"/>
          <w:szCs w:val="28"/>
        </w:rPr>
        <w:t xml:space="preserve">проводили  путем   анализа   восстановления   клетками   НСТ   in   vitro </w:t>
      </w:r>
      <w:r>
        <w:rPr>
          <w:rFonts w:ascii="Times New Roman" w:hAnsi="Times New Roman" w:cs="Times New Roman"/>
          <w:sz w:val="28"/>
          <w:szCs w:val="28"/>
        </w:rPr>
        <w:t xml:space="preserve">  с </w:t>
      </w:r>
      <w:r w:rsidRPr="00E75DE8">
        <w:rPr>
          <w:rFonts w:ascii="Times New Roman" w:hAnsi="Times New Roman" w:cs="Times New Roman"/>
          <w:sz w:val="28"/>
          <w:szCs w:val="28"/>
        </w:rPr>
        <w:t>использованием эндотоксинов методом цитометрии на проточном цитометре, также определяли фагоцитарный индекс (ФИ) и коэффициент киллинга (КК) в тесте фагоцитарной активности с использованием тестового штамма Staphylococcus №209. Определение С-реактивного белка и антистрептолизина-О аналитическим методом иммунотурбидиметрии на основании реакции антиген-антитело. Также для выявления патогенов и оценки обсемененности верхних дыхательных путей выполняли посевы отделяемого из носоглотки на питательные среды стандартными микробиологическими методами.</w:t>
      </w:r>
    </w:p>
    <w:p w:rsidR="00E75DE8" w:rsidRPr="00E75DE8" w:rsidRDefault="00267FF5" w:rsidP="00CF1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функции внешнего дыхания осуществлялась </w:t>
      </w:r>
      <w:r w:rsidR="005B15EA">
        <w:rPr>
          <w:rFonts w:ascii="Times New Roman" w:hAnsi="Times New Roman" w:cs="Times New Roman"/>
          <w:sz w:val="28"/>
          <w:szCs w:val="28"/>
        </w:rPr>
        <w:t>спирометрией и риноманометрией</w:t>
      </w:r>
      <w:r w:rsidR="00CF15A3">
        <w:rPr>
          <w:rFonts w:ascii="Times New Roman" w:hAnsi="Times New Roman" w:cs="Times New Roman"/>
          <w:sz w:val="28"/>
          <w:szCs w:val="28"/>
        </w:rPr>
        <w:t>. П</w:t>
      </w:r>
      <w:r w:rsidR="00E75DE8" w:rsidRPr="00E75DE8">
        <w:rPr>
          <w:rFonts w:ascii="Times New Roman" w:hAnsi="Times New Roman" w:cs="Times New Roman"/>
          <w:sz w:val="28"/>
          <w:szCs w:val="28"/>
        </w:rPr>
        <w:t xml:space="preserve">робы Штанге и Генчи </w:t>
      </w:r>
      <w:r w:rsidR="005B15EA">
        <w:rPr>
          <w:rFonts w:ascii="Times New Roman" w:hAnsi="Times New Roman" w:cs="Times New Roman"/>
          <w:sz w:val="28"/>
          <w:szCs w:val="28"/>
        </w:rPr>
        <w:t xml:space="preserve">проводились </w:t>
      </w:r>
      <w:r w:rsidR="00E75DE8" w:rsidRPr="00E75DE8">
        <w:rPr>
          <w:rFonts w:ascii="Times New Roman" w:hAnsi="Times New Roman" w:cs="Times New Roman"/>
          <w:sz w:val="28"/>
          <w:szCs w:val="28"/>
        </w:rPr>
        <w:t>по классической методике.</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Риноманометрия проводилась с целью объективной оценки носового дыхания, при этом рассчитывали параметры суммарного объемного потока (СОП) и суммарного сопротивления (СС).</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Оценку качества жизни обследуемых  проводили с применением стандартного опросника качества жизни SF-36.</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Статистический анализ данных, собранных в ходе исследования проводился с использованием пакетов программ IBM SPSS Statistics 26 и Microsoft Office 2017. </w:t>
      </w:r>
    </w:p>
    <w:p w:rsidR="00E75DE8" w:rsidRPr="00E75DE8" w:rsidRDefault="00E75DE8" w:rsidP="00E75DE8">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В экспериментальной части работы использовали 30 беспородных белых крыс, которые были разделены на 3 груп</w:t>
      </w:r>
      <w:r>
        <w:rPr>
          <w:rFonts w:ascii="Times New Roman" w:hAnsi="Times New Roman" w:cs="Times New Roman"/>
          <w:sz w:val="28"/>
          <w:szCs w:val="28"/>
        </w:rPr>
        <w:t xml:space="preserve">пы средней массой 150-250 гр.:  </w:t>
      </w:r>
      <w:r w:rsidRPr="00E75DE8">
        <w:rPr>
          <w:rFonts w:ascii="Times New Roman" w:hAnsi="Times New Roman" w:cs="Times New Roman"/>
          <w:sz w:val="28"/>
          <w:szCs w:val="28"/>
        </w:rPr>
        <w:t>1-группа (n=10) здоровые животные, не подвергавшиеся эксперименту (контрольная     группа)    содержались      в    бла</w:t>
      </w:r>
      <w:r>
        <w:rPr>
          <w:rFonts w:ascii="Times New Roman" w:hAnsi="Times New Roman" w:cs="Times New Roman"/>
          <w:sz w:val="28"/>
          <w:szCs w:val="28"/>
        </w:rPr>
        <w:t xml:space="preserve">гополучном   по    показателям </w:t>
      </w:r>
      <w:r w:rsidRPr="00E75DE8">
        <w:rPr>
          <w:rFonts w:ascii="Times New Roman" w:hAnsi="Times New Roman" w:cs="Times New Roman"/>
          <w:sz w:val="28"/>
          <w:szCs w:val="28"/>
        </w:rPr>
        <w:t>атмосферного воздуха в селе Папан. Содержались в обычных контейнерах. Контрольные животные (n=10).</w:t>
      </w:r>
      <w:r>
        <w:rPr>
          <w:rFonts w:ascii="Times New Roman" w:hAnsi="Times New Roman" w:cs="Times New Roman"/>
          <w:sz w:val="28"/>
          <w:szCs w:val="28"/>
        </w:rPr>
        <w:t xml:space="preserve"> </w:t>
      </w:r>
      <w:r w:rsidRPr="00E75DE8">
        <w:rPr>
          <w:rFonts w:ascii="Times New Roman" w:hAnsi="Times New Roman" w:cs="Times New Roman"/>
          <w:sz w:val="28"/>
          <w:szCs w:val="28"/>
        </w:rPr>
        <w:t xml:space="preserve">2-группа (n=10) животные подвергались воздействию пыли. Животных помещали в затравочную пылевую камеру и подвергали воздействию по 4 часа в день 5 дней в неделю на протяжении 4 недель; 3-группа (n=10) животные подвергались воздействию выхлопного газа  в ингаляционной камеры NOE. Для гистологических исследований кусочки </w:t>
      </w:r>
      <w:r w:rsidRPr="00E75DE8">
        <w:rPr>
          <w:rFonts w:ascii="Times New Roman" w:hAnsi="Times New Roman" w:cs="Times New Roman"/>
          <w:sz w:val="28"/>
          <w:szCs w:val="28"/>
        </w:rPr>
        <w:lastRenderedPageBreak/>
        <w:t>органов дыхания животных (бронхи, легкие), фиксировали в 10 %-ом нейтральном формалине с последующей заливкой материала в парафин. Срезы толщиной 4-5 микрон окрашивали гематоксилин-эозином. Окрашенные по схеме микроскопические срезы исследовались под цифровым микроскопом марки БИОМЕД-6. Весь полученный фактический экспериментальный материал подвергнут компьютерной обработке с помощью пакета прикладных программ Microsoft Excel и с расчетом критерия Стьюдента.</w:t>
      </w:r>
    </w:p>
    <w:p w:rsidR="00E75DE8" w:rsidRPr="003100CF" w:rsidRDefault="00E75DE8" w:rsidP="00E75DE8">
      <w:pPr>
        <w:spacing w:after="0" w:line="240" w:lineRule="auto"/>
        <w:ind w:firstLine="709"/>
        <w:jc w:val="both"/>
        <w:rPr>
          <w:rFonts w:ascii="Times New Roman" w:hAnsi="Times New Roman" w:cs="Times New Roman"/>
          <w:b/>
          <w:sz w:val="28"/>
          <w:szCs w:val="28"/>
        </w:rPr>
      </w:pPr>
      <w:r w:rsidRPr="003100CF">
        <w:rPr>
          <w:rFonts w:ascii="Times New Roman" w:hAnsi="Times New Roman" w:cs="Times New Roman"/>
          <w:b/>
          <w:sz w:val="28"/>
          <w:szCs w:val="28"/>
        </w:rPr>
        <w:t xml:space="preserve">Глава 3. Результаты собственных исследований и их обсуждение. </w:t>
      </w:r>
    </w:p>
    <w:p w:rsidR="00E75DE8" w:rsidRDefault="00E75DE8" w:rsidP="00E75DE8">
      <w:pPr>
        <w:spacing w:after="0" w:line="240" w:lineRule="auto"/>
        <w:ind w:firstLine="709"/>
        <w:jc w:val="both"/>
        <w:rPr>
          <w:rFonts w:ascii="Times New Roman" w:hAnsi="Times New Roman" w:cs="Times New Roman"/>
          <w:sz w:val="28"/>
          <w:szCs w:val="28"/>
        </w:rPr>
      </w:pPr>
      <w:r w:rsidRPr="003100CF">
        <w:rPr>
          <w:rFonts w:ascii="Times New Roman" w:hAnsi="Times New Roman" w:cs="Times New Roman"/>
          <w:b/>
          <w:sz w:val="28"/>
          <w:szCs w:val="28"/>
        </w:rPr>
        <w:t>3.1. Гигиеническая оценка атмосферного воздуха.</w:t>
      </w:r>
      <w:r w:rsidRPr="00E75DE8">
        <w:rPr>
          <w:rFonts w:ascii="Times New Roman" w:hAnsi="Times New Roman" w:cs="Times New Roman"/>
          <w:sz w:val="28"/>
          <w:szCs w:val="28"/>
        </w:rPr>
        <w:t xml:space="preserve"> Исследование характеристик атмосферного воздуха в трех местностях Кыргызской Республики показало, что в атмосферном воздухе с.Папан концентрации различных веществ не превышала уровни предельно допустимых концентраций (ПДК), указанные в нормативной документации (НД) (таблица 1). В районе с.Гулбар Араванского района и в г. Ош концентрации всех загрязнителей существенно превышали ПДК.</w:t>
      </w:r>
    </w:p>
    <w:p w:rsidR="003100CF" w:rsidRPr="00E75DE8" w:rsidRDefault="003100CF" w:rsidP="00E75DE8">
      <w:pPr>
        <w:spacing w:after="0" w:line="240" w:lineRule="auto"/>
        <w:ind w:firstLine="709"/>
        <w:jc w:val="both"/>
        <w:rPr>
          <w:rFonts w:ascii="Times New Roman" w:hAnsi="Times New Roman" w:cs="Times New Roman"/>
          <w:sz w:val="28"/>
          <w:szCs w:val="28"/>
        </w:rPr>
      </w:pPr>
    </w:p>
    <w:p w:rsid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Таблица 3.1.1 ‒ Результаты измерений показателей атмосферного воздуха в исследуемых районах Кыргызской Республики (мг/м3)</w:t>
      </w:r>
    </w:p>
    <w:p w:rsidR="003100CF" w:rsidRPr="00EB2A10" w:rsidRDefault="003100CF" w:rsidP="00E75DE8">
      <w:pPr>
        <w:spacing w:after="0" w:line="240" w:lineRule="auto"/>
        <w:jc w:val="both"/>
        <w:rPr>
          <w:rFonts w:ascii="Times New Roman" w:hAnsi="Times New Roman" w:cs="Times New Roman"/>
          <w:sz w:val="24"/>
          <w:szCs w:val="28"/>
        </w:rPr>
      </w:pPr>
    </w:p>
    <w:tbl>
      <w:tblPr>
        <w:tblStyle w:val="a3"/>
        <w:tblW w:w="0" w:type="auto"/>
        <w:tblLook w:val="04A0" w:firstRow="1" w:lastRow="0" w:firstColumn="1" w:lastColumn="0" w:noHBand="0" w:noVBand="1"/>
      </w:tblPr>
      <w:tblGrid>
        <w:gridCol w:w="2660"/>
        <w:gridCol w:w="1984"/>
        <w:gridCol w:w="1985"/>
        <w:gridCol w:w="1559"/>
        <w:gridCol w:w="1559"/>
      </w:tblGrid>
      <w:tr w:rsidR="003100CF" w:rsidTr="00EB2A10">
        <w:tc>
          <w:tcPr>
            <w:tcW w:w="2660" w:type="dxa"/>
          </w:tcPr>
          <w:p w:rsidR="003100CF" w:rsidRPr="003100CF" w:rsidRDefault="003100CF" w:rsidP="003100CF">
            <w:pPr>
              <w:ind w:left="147"/>
              <w:rPr>
                <w:rFonts w:ascii="Times New Roman" w:eastAsia="Times New Roman" w:hAnsi="Times New Roman" w:cs="Times New Roman"/>
                <w:sz w:val="28"/>
                <w:szCs w:val="28"/>
              </w:rPr>
            </w:pPr>
            <w:r w:rsidRPr="003100CF">
              <w:rPr>
                <w:rFonts w:ascii="Times New Roman" w:eastAsia="Times New Roman" w:hAnsi="Times New Roman" w:cs="Times New Roman"/>
                <w:spacing w:val="-2"/>
                <w:sz w:val="28"/>
                <w:szCs w:val="28"/>
              </w:rPr>
              <w:t>Наименование</w:t>
            </w:r>
          </w:p>
          <w:p w:rsidR="003100CF" w:rsidRPr="003100CF" w:rsidRDefault="003100CF" w:rsidP="003100CF">
            <w:pPr>
              <w:ind w:left="147"/>
              <w:rPr>
                <w:rFonts w:ascii="Times New Roman" w:eastAsia="Times New Roman" w:hAnsi="Times New Roman" w:cs="Times New Roman"/>
                <w:sz w:val="28"/>
                <w:szCs w:val="28"/>
              </w:rPr>
            </w:pPr>
            <w:r w:rsidRPr="003100CF">
              <w:rPr>
                <w:rFonts w:ascii="Times New Roman" w:eastAsia="Times New Roman" w:hAnsi="Times New Roman" w:cs="Times New Roman"/>
                <w:spacing w:val="-2"/>
                <w:sz w:val="28"/>
                <w:szCs w:val="28"/>
              </w:rPr>
              <w:t>ингредиента, вещества</w:t>
            </w:r>
          </w:p>
        </w:tc>
        <w:tc>
          <w:tcPr>
            <w:tcW w:w="1984" w:type="dxa"/>
          </w:tcPr>
          <w:p w:rsidR="003100CF" w:rsidRPr="003100CF" w:rsidRDefault="003100CF" w:rsidP="003100CF">
            <w:pPr>
              <w:ind w:left="147"/>
              <w:jc w:val="center"/>
              <w:rPr>
                <w:rFonts w:ascii="Times New Roman" w:eastAsia="Times New Roman" w:hAnsi="Times New Roman" w:cs="Times New Roman"/>
                <w:sz w:val="28"/>
                <w:szCs w:val="28"/>
              </w:rPr>
            </w:pPr>
            <w:r w:rsidRPr="003100CF">
              <w:rPr>
                <w:rFonts w:ascii="Times New Roman" w:eastAsia="Times New Roman" w:hAnsi="Times New Roman" w:cs="Times New Roman"/>
                <w:sz w:val="28"/>
                <w:szCs w:val="28"/>
              </w:rPr>
              <w:t>с.</w:t>
            </w:r>
            <w:r w:rsidRPr="003100CF">
              <w:rPr>
                <w:rFonts w:ascii="Times New Roman" w:eastAsia="Times New Roman" w:hAnsi="Times New Roman" w:cs="Times New Roman"/>
                <w:spacing w:val="-1"/>
                <w:sz w:val="28"/>
                <w:szCs w:val="28"/>
              </w:rPr>
              <w:t xml:space="preserve"> </w:t>
            </w:r>
            <w:r w:rsidRPr="003100CF">
              <w:rPr>
                <w:rFonts w:ascii="Times New Roman" w:eastAsia="Times New Roman" w:hAnsi="Times New Roman" w:cs="Times New Roman"/>
                <w:spacing w:val="-2"/>
                <w:sz w:val="28"/>
                <w:szCs w:val="28"/>
              </w:rPr>
              <w:t>Папан</w:t>
            </w:r>
          </w:p>
        </w:tc>
        <w:tc>
          <w:tcPr>
            <w:tcW w:w="1985" w:type="dxa"/>
          </w:tcPr>
          <w:p w:rsidR="003100CF" w:rsidRPr="003100CF" w:rsidRDefault="003100CF" w:rsidP="003100CF">
            <w:pPr>
              <w:ind w:left="147"/>
              <w:jc w:val="center"/>
              <w:rPr>
                <w:rFonts w:ascii="Times New Roman" w:eastAsia="Times New Roman" w:hAnsi="Times New Roman" w:cs="Times New Roman"/>
                <w:sz w:val="28"/>
                <w:szCs w:val="28"/>
              </w:rPr>
            </w:pPr>
            <w:r w:rsidRPr="003100CF">
              <w:rPr>
                <w:rFonts w:ascii="Times New Roman" w:eastAsia="Times New Roman" w:hAnsi="Times New Roman" w:cs="Times New Roman"/>
                <w:spacing w:val="-2"/>
                <w:sz w:val="28"/>
                <w:szCs w:val="28"/>
              </w:rPr>
              <w:t>с.Гулбар</w:t>
            </w:r>
          </w:p>
        </w:tc>
        <w:tc>
          <w:tcPr>
            <w:tcW w:w="1559" w:type="dxa"/>
          </w:tcPr>
          <w:p w:rsidR="003100CF" w:rsidRPr="003100CF" w:rsidRDefault="003100CF" w:rsidP="003100CF">
            <w:pPr>
              <w:ind w:left="147"/>
              <w:jc w:val="center"/>
              <w:rPr>
                <w:rFonts w:ascii="Times New Roman" w:eastAsia="Times New Roman" w:hAnsi="Times New Roman" w:cs="Times New Roman"/>
                <w:sz w:val="28"/>
                <w:szCs w:val="28"/>
              </w:rPr>
            </w:pPr>
            <w:r w:rsidRPr="003100CF">
              <w:rPr>
                <w:rFonts w:ascii="Times New Roman" w:eastAsia="Times New Roman" w:hAnsi="Times New Roman" w:cs="Times New Roman"/>
                <w:spacing w:val="-4"/>
                <w:sz w:val="28"/>
                <w:szCs w:val="28"/>
              </w:rPr>
              <w:t>г.Ош</w:t>
            </w:r>
          </w:p>
        </w:tc>
        <w:tc>
          <w:tcPr>
            <w:tcW w:w="1559" w:type="dxa"/>
          </w:tcPr>
          <w:p w:rsidR="003100CF" w:rsidRPr="003100CF" w:rsidRDefault="003100CF" w:rsidP="003100CF">
            <w:pPr>
              <w:ind w:left="147"/>
              <w:jc w:val="center"/>
              <w:rPr>
                <w:rFonts w:ascii="Times New Roman" w:eastAsia="Times New Roman" w:hAnsi="Times New Roman" w:cs="Times New Roman"/>
                <w:sz w:val="28"/>
                <w:szCs w:val="28"/>
              </w:rPr>
            </w:pPr>
            <w:r w:rsidRPr="003100CF">
              <w:rPr>
                <w:rFonts w:ascii="Times New Roman" w:eastAsia="Times New Roman" w:hAnsi="Times New Roman" w:cs="Times New Roman"/>
                <w:sz w:val="28"/>
                <w:szCs w:val="28"/>
              </w:rPr>
              <w:t>ПДК,</w:t>
            </w:r>
            <w:r w:rsidRPr="003100CF">
              <w:rPr>
                <w:rFonts w:ascii="Times New Roman" w:eastAsia="Times New Roman" w:hAnsi="Times New Roman" w:cs="Times New Roman"/>
                <w:spacing w:val="-8"/>
                <w:sz w:val="28"/>
                <w:szCs w:val="28"/>
              </w:rPr>
              <w:t xml:space="preserve"> </w:t>
            </w:r>
            <w:r w:rsidRPr="003100CF">
              <w:rPr>
                <w:rFonts w:ascii="Times New Roman" w:eastAsia="Times New Roman" w:hAnsi="Times New Roman" w:cs="Times New Roman"/>
                <w:spacing w:val="-2"/>
                <w:sz w:val="28"/>
                <w:szCs w:val="28"/>
              </w:rPr>
              <w:t>мг/м</w:t>
            </w:r>
            <w:r w:rsidRPr="003100CF">
              <w:rPr>
                <w:rFonts w:ascii="Times New Roman" w:eastAsia="Times New Roman" w:hAnsi="Times New Roman" w:cs="Times New Roman"/>
                <w:spacing w:val="-2"/>
                <w:sz w:val="28"/>
                <w:szCs w:val="28"/>
                <w:vertAlign w:val="superscript"/>
              </w:rPr>
              <w:t>3</w:t>
            </w:r>
          </w:p>
        </w:tc>
      </w:tr>
      <w:tr w:rsidR="003100CF" w:rsidTr="00EB2A10">
        <w:tc>
          <w:tcPr>
            <w:tcW w:w="2660"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 xml:space="preserve">Концентрация пыли и твердые выбросы  </w:t>
            </w:r>
          </w:p>
        </w:tc>
        <w:tc>
          <w:tcPr>
            <w:tcW w:w="1984"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0,3</w:t>
            </w:r>
          </w:p>
        </w:tc>
        <w:tc>
          <w:tcPr>
            <w:tcW w:w="1985"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5,5*</w:t>
            </w:r>
          </w:p>
        </w:tc>
        <w:tc>
          <w:tcPr>
            <w:tcW w:w="1559"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4,5 *</w:t>
            </w:r>
          </w:p>
        </w:tc>
        <w:tc>
          <w:tcPr>
            <w:tcW w:w="1559" w:type="dxa"/>
          </w:tcPr>
          <w:p w:rsidR="003100CF" w:rsidRPr="003100CF" w:rsidRDefault="003100CF" w:rsidP="003100CF">
            <w:pPr>
              <w:jc w:val="center"/>
              <w:rPr>
                <w:rFonts w:ascii="Times New Roman" w:hAnsi="Times New Roman" w:cs="Times New Roman"/>
                <w:sz w:val="28"/>
                <w:szCs w:val="28"/>
              </w:rPr>
            </w:pPr>
            <w:r w:rsidRPr="003100CF">
              <w:rPr>
                <w:rFonts w:ascii="Times New Roman" w:hAnsi="Times New Roman" w:cs="Times New Roman"/>
                <w:sz w:val="28"/>
                <w:szCs w:val="28"/>
              </w:rPr>
              <w:t>0,5</w:t>
            </w:r>
          </w:p>
        </w:tc>
      </w:tr>
      <w:tr w:rsidR="003100CF" w:rsidTr="00EB2A10">
        <w:trPr>
          <w:trHeight w:val="259"/>
        </w:trPr>
        <w:tc>
          <w:tcPr>
            <w:tcW w:w="2660"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Диоксид серы</w:t>
            </w:r>
          </w:p>
        </w:tc>
        <w:tc>
          <w:tcPr>
            <w:tcW w:w="1984"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w:t>
            </w:r>
          </w:p>
        </w:tc>
        <w:tc>
          <w:tcPr>
            <w:tcW w:w="1985"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7,0 *</w:t>
            </w:r>
          </w:p>
        </w:tc>
        <w:tc>
          <w:tcPr>
            <w:tcW w:w="1559"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9,5*</w:t>
            </w:r>
          </w:p>
        </w:tc>
        <w:tc>
          <w:tcPr>
            <w:tcW w:w="1559" w:type="dxa"/>
          </w:tcPr>
          <w:p w:rsidR="003100CF" w:rsidRPr="003100CF" w:rsidRDefault="003100CF" w:rsidP="003100CF">
            <w:pPr>
              <w:jc w:val="center"/>
              <w:rPr>
                <w:rFonts w:ascii="Times New Roman" w:hAnsi="Times New Roman" w:cs="Times New Roman"/>
                <w:sz w:val="28"/>
                <w:szCs w:val="28"/>
              </w:rPr>
            </w:pPr>
            <w:r w:rsidRPr="003100CF">
              <w:rPr>
                <w:rFonts w:ascii="Times New Roman" w:hAnsi="Times New Roman" w:cs="Times New Roman"/>
                <w:sz w:val="28"/>
                <w:szCs w:val="28"/>
              </w:rPr>
              <w:t>5,0</w:t>
            </w:r>
          </w:p>
        </w:tc>
      </w:tr>
      <w:tr w:rsidR="003100CF" w:rsidTr="00EB2A10">
        <w:tc>
          <w:tcPr>
            <w:tcW w:w="2660"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Окись азота</w:t>
            </w:r>
          </w:p>
        </w:tc>
        <w:tc>
          <w:tcPr>
            <w:tcW w:w="1984"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w:t>
            </w:r>
          </w:p>
        </w:tc>
        <w:tc>
          <w:tcPr>
            <w:tcW w:w="1985" w:type="dxa"/>
            <w:vAlign w:val="center"/>
          </w:tcPr>
          <w:p w:rsidR="003100CF" w:rsidRPr="003100CF" w:rsidRDefault="007446C1" w:rsidP="003100CF">
            <w:pPr>
              <w:keepNex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0,63</w:t>
            </w:r>
            <w:r w:rsidR="003100CF" w:rsidRPr="003100CF">
              <w:rPr>
                <w:rFonts w:ascii="Times New Roman" w:hAnsi="Times New Roman" w:cs="Times New Roman"/>
                <w:color w:val="000000" w:themeColor="text1"/>
                <w:sz w:val="28"/>
                <w:szCs w:val="28"/>
              </w:rPr>
              <w:t xml:space="preserve"> *</w:t>
            </w:r>
          </w:p>
        </w:tc>
        <w:tc>
          <w:tcPr>
            <w:tcW w:w="1559" w:type="dxa"/>
            <w:vAlign w:val="center"/>
          </w:tcPr>
          <w:p w:rsidR="003100CF" w:rsidRPr="003100CF" w:rsidRDefault="007446C1" w:rsidP="007446C1">
            <w:pPr>
              <w:keepNex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0,7</w:t>
            </w:r>
            <w:r w:rsidR="003100CF" w:rsidRPr="003100CF">
              <w:rPr>
                <w:rFonts w:ascii="Times New Roman" w:hAnsi="Times New Roman" w:cs="Times New Roman"/>
                <w:color w:val="000000" w:themeColor="text1"/>
                <w:sz w:val="28"/>
                <w:szCs w:val="28"/>
              </w:rPr>
              <w:t>*</w:t>
            </w:r>
          </w:p>
        </w:tc>
        <w:tc>
          <w:tcPr>
            <w:tcW w:w="1559" w:type="dxa"/>
          </w:tcPr>
          <w:p w:rsidR="003100CF" w:rsidRPr="003100CF" w:rsidRDefault="003100CF" w:rsidP="003100CF">
            <w:pPr>
              <w:jc w:val="center"/>
              <w:rPr>
                <w:rFonts w:ascii="Times New Roman" w:hAnsi="Times New Roman" w:cs="Times New Roman"/>
                <w:sz w:val="28"/>
                <w:szCs w:val="28"/>
              </w:rPr>
            </w:pPr>
            <w:r w:rsidRPr="003100CF">
              <w:rPr>
                <w:rFonts w:ascii="Times New Roman" w:hAnsi="Times New Roman" w:cs="Times New Roman"/>
                <w:sz w:val="28"/>
                <w:szCs w:val="28"/>
              </w:rPr>
              <w:t>0,4</w:t>
            </w:r>
          </w:p>
        </w:tc>
      </w:tr>
      <w:tr w:rsidR="003100CF" w:rsidTr="00EB2A10">
        <w:tc>
          <w:tcPr>
            <w:tcW w:w="2660"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Окись углерода</w:t>
            </w:r>
          </w:p>
        </w:tc>
        <w:tc>
          <w:tcPr>
            <w:tcW w:w="1984"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0,03</w:t>
            </w:r>
          </w:p>
        </w:tc>
        <w:tc>
          <w:tcPr>
            <w:tcW w:w="1985"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7,5 *</w:t>
            </w:r>
          </w:p>
        </w:tc>
        <w:tc>
          <w:tcPr>
            <w:tcW w:w="1559" w:type="dxa"/>
            <w:vAlign w:val="center"/>
          </w:tcPr>
          <w:p w:rsidR="003100CF" w:rsidRPr="003100CF" w:rsidRDefault="003100CF" w:rsidP="007446C1">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8,8</w:t>
            </w:r>
            <w:r w:rsidR="007446C1" w:rsidRPr="007446C1">
              <w:rPr>
                <w:rFonts w:ascii="Times New Roman" w:hAnsi="Times New Roman" w:cs="Times New Roman"/>
                <w:color w:val="000000" w:themeColor="text1"/>
                <w:sz w:val="28"/>
                <w:szCs w:val="28"/>
              </w:rPr>
              <w:t>*</w:t>
            </w:r>
          </w:p>
        </w:tc>
        <w:tc>
          <w:tcPr>
            <w:tcW w:w="1559" w:type="dxa"/>
          </w:tcPr>
          <w:p w:rsidR="003100CF" w:rsidRPr="003100CF" w:rsidRDefault="003100CF" w:rsidP="003100CF">
            <w:pPr>
              <w:jc w:val="center"/>
              <w:rPr>
                <w:rFonts w:ascii="Times New Roman" w:hAnsi="Times New Roman" w:cs="Times New Roman"/>
                <w:sz w:val="28"/>
                <w:szCs w:val="28"/>
              </w:rPr>
            </w:pPr>
            <w:r w:rsidRPr="003100CF">
              <w:rPr>
                <w:rFonts w:ascii="Times New Roman" w:hAnsi="Times New Roman" w:cs="Times New Roman"/>
                <w:sz w:val="28"/>
                <w:szCs w:val="28"/>
              </w:rPr>
              <w:t>5,0</w:t>
            </w:r>
          </w:p>
        </w:tc>
      </w:tr>
      <w:tr w:rsidR="003100CF" w:rsidTr="00EB2A10">
        <w:tc>
          <w:tcPr>
            <w:tcW w:w="2660"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 xml:space="preserve">Двуокись азота </w:t>
            </w:r>
          </w:p>
        </w:tc>
        <w:tc>
          <w:tcPr>
            <w:tcW w:w="1984"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w:t>
            </w:r>
          </w:p>
        </w:tc>
        <w:tc>
          <w:tcPr>
            <w:tcW w:w="1985" w:type="dxa"/>
            <w:vAlign w:val="center"/>
          </w:tcPr>
          <w:p w:rsidR="003100CF" w:rsidRPr="003100CF" w:rsidRDefault="003100CF" w:rsidP="003100CF">
            <w:pPr>
              <w:keepNext/>
              <w:jc w:val="center"/>
              <w:rPr>
                <w:rFonts w:ascii="Times New Roman" w:hAnsi="Times New Roman" w:cs="Times New Roman"/>
                <w:color w:val="000000" w:themeColor="text1"/>
                <w:sz w:val="28"/>
                <w:szCs w:val="28"/>
              </w:rPr>
            </w:pPr>
            <w:r w:rsidRPr="003100CF">
              <w:rPr>
                <w:rFonts w:ascii="Times New Roman" w:hAnsi="Times New Roman" w:cs="Times New Roman"/>
                <w:color w:val="000000" w:themeColor="text1"/>
                <w:sz w:val="28"/>
                <w:szCs w:val="28"/>
              </w:rPr>
              <w:t xml:space="preserve">- </w:t>
            </w:r>
          </w:p>
        </w:tc>
        <w:tc>
          <w:tcPr>
            <w:tcW w:w="1559" w:type="dxa"/>
            <w:vAlign w:val="center"/>
          </w:tcPr>
          <w:p w:rsidR="003100CF" w:rsidRPr="003100CF" w:rsidRDefault="007446C1" w:rsidP="003100CF">
            <w:pPr>
              <w:keepNex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0,097</w:t>
            </w:r>
            <w:r w:rsidRPr="003100CF">
              <w:rPr>
                <w:rFonts w:ascii="Times New Roman" w:hAnsi="Times New Roman" w:cs="Times New Roman"/>
                <w:color w:val="000000" w:themeColor="text1"/>
                <w:sz w:val="28"/>
                <w:szCs w:val="28"/>
              </w:rPr>
              <w:t>*</w:t>
            </w:r>
          </w:p>
        </w:tc>
        <w:tc>
          <w:tcPr>
            <w:tcW w:w="1559" w:type="dxa"/>
          </w:tcPr>
          <w:p w:rsidR="003100CF" w:rsidRPr="003100CF" w:rsidRDefault="003100CF" w:rsidP="003100CF">
            <w:pPr>
              <w:jc w:val="center"/>
              <w:rPr>
                <w:rFonts w:ascii="Times New Roman" w:hAnsi="Times New Roman" w:cs="Times New Roman"/>
                <w:sz w:val="28"/>
                <w:szCs w:val="28"/>
              </w:rPr>
            </w:pPr>
            <w:r w:rsidRPr="003100CF">
              <w:rPr>
                <w:rFonts w:ascii="Times New Roman" w:hAnsi="Times New Roman" w:cs="Times New Roman"/>
                <w:sz w:val="28"/>
                <w:szCs w:val="28"/>
              </w:rPr>
              <w:t>0,085</w:t>
            </w:r>
          </w:p>
        </w:tc>
      </w:tr>
    </w:tbl>
    <w:p w:rsidR="00E75DE8" w:rsidRPr="00EB2A10" w:rsidRDefault="00E75DE8" w:rsidP="00E75DE8">
      <w:pPr>
        <w:spacing w:after="0" w:line="240" w:lineRule="auto"/>
        <w:jc w:val="both"/>
        <w:rPr>
          <w:rFonts w:ascii="Times New Roman" w:hAnsi="Times New Roman" w:cs="Times New Roman"/>
          <w:sz w:val="16"/>
          <w:szCs w:val="28"/>
        </w:rPr>
      </w:pPr>
    </w:p>
    <w:p w:rsidR="00E75DE8" w:rsidRPr="00EB2A10" w:rsidRDefault="00E75DE8" w:rsidP="003100CF">
      <w:pPr>
        <w:spacing w:after="0" w:line="240" w:lineRule="auto"/>
        <w:ind w:firstLine="567"/>
        <w:jc w:val="both"/>
        <w:rPr>
          <w:rFonts w:ascii="Times New Roman" w:hAnsi="Times New Roman" w:cs="Times New Roman"/>
          <w:i/>
          <w:sz w:val="24"/>
          <w:szCs w:val="28"/>
        </w:rPr>
      </w:pPr>
      <w:r w:rsidRPr="00EB2A10">
        <w:rPr>
          <w:rFonts w:ascii="Times New Roman" w:hAnsi="Times New Roman" w:cs="Times New Roman"/>
          <w:i/>
          <w:sz w:val="24"/>
          <w:szCs w:val="28"/>
        </w:rPr>
        <w:t>Примечание: * - концентрации превышают ПДК.</w:t>
      </w:r>
    </w:p>
    <w:p w:rsidR="00E75DE8" w:rsidRPr="003100CF" w:rsidRDefault="00E75DE8" w:rsidP="003100CF">
      <w:pPr>
        <w:spacing w:after="0" w:line="240" w:lineRule="auto"/>
        <w:ind w:firstLine="567"/>
        <w:jc w:val="both"/>
        <w:rPr>
          <w:rFonts w:ascii="Times New Roman" w:hAnsi="Times New Roman" w:cs="Times New Roman"/>
          <w:sz w:val="24"/>
          <w:szCs w:val="28"/>
        </w:rPr>
      </w:pPr>
    </w:p>
    <w:p w:rsidR="00E75DE8" w:rsidRPr="00E75DE8" w:rsidRDefault="00E75DE8" w:rsidP="009F4FE7">
      <w:pPr>
        <w:spacing w:after="0" w:line="240" w:lineRule="auto"/>
        <w:ind w:firstLine="709"/>
        <w:jc w:val="both"/>
        <w:rPr>
          <w:rFonts w:ascii="Times New Roman" w:hAnsi="Times New Roman" w:cs="Times New Roman"/>
          <w:sz w:val="28"/>
          <w:szCs w:val="28"/>
        </w:rPr>
      </w:pPr>
      <w:r w:rsidRPr="003100CF">
        <w:rPr>
          <w:rFonts w:ascii="Times New Roman" w:hAnsi="Times New Roman" w:cs="Times New Roman"/>
          <w:b/>
          <w:sz w:val="28"/>
          <w:szCs w:val="28"/>
        </w:rPr>
        <w:t>3.3.</w:t>
      </w:r>
      <w:r w:rsidR="003100CF" w:rsidRPr="003100CF">
        <w:rPr>
          <w:rFonts w:ascii="Times New Roman" w:hAnsi="Times New Roman" w:cs="Times New Roman"/>
          <w:b/>
          <w:sz w:val="28"/>
          <w:szCs w:val="28"/>
        </w:rPr>
        <w:t xml:space="preserve"> </w:t>
      </w:r>
      <w:r w:rsidRPr="003100CF">
        <w:rPr>
          <w:rFonts w:ascii="Times New Roman" w:hAnsi="Times New Roman" w:cs="Times New Roman"/>
          <w:b/>
          <w:sz w:val="28"/>
          <w:szCs w:val="28"/>
        </w:rPr>
        <w:t>Результаты оценки  функции внешнего дыхания.</w:t>
      </w:r>
      <w:r w:rsidRPr="00E75DE8">
        <w:rPr>
          <w:rFonts w:ascii="Times New Roman" w:hAnsi="Times New Roman" w:cs="Times New Roman"/>
          <w:sz w:val="28"/>
          <w:szCs w:val="28"/>
        </w:rPr>
        <w:t xml:space="preserve"> Резу</w:t>
      </w:r>
      <w:r w:rsidR="007446C1">
        <w:rPr>
          <w:rFonts w:ascii="Times New Roman" w:hAnsi="Times New Roman" w:cs="Times New Roman"/>
          <w:sz w:val="28"/>
          <w:szCs w:val="28"/>
        </w:rPr>
        <w:t>льтаты оценки пробы Штанге и Ге</w:t>
      </w:r>
      <w:r w:rsidRPr="00E75DE8">
        <w:rPr>
          <w:rFonts w:ascii="Times New Roman" w:hAnsi="Times New Roman" w:cs="Times New Roman"/>
          <w:sz w:val="28"/>
          <w:szCs w:val="28"/>
        </w:rPr>
        <w:t xml:space="preserve">нчи представлены в таблице 3.3.1. </w:t>
      </w:r>
    </w:p>
    <w:p w:rsidR="00E75DE8" w:rsidRDefault="007446C1" w:rsidP="00E75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3.3.1.</w:t>
      </w:r>
    </w:p>
    <w:p w:rsidR="003100CF" w:rsidRPr="003100CF" w:rsidRDefault="003100CF" w:rsidP="00E75DE8">
      <w:pPr>
        <w:spacing w:after="0" w:line="240" w:lineRule="auto"/>
        <w:jc w:val="both"/>
        <w:rPr>
          <w:rFonts w:ascii="Times New Roman" w:hAnsi="Times New Roman" w:cs="Times New Roman"/>
          <w:sz w:val="16"/>
          <w:szCs w:val="28"/>
        </w:rPr>
      </w:pPr>
    </w:p>
    <w:tbl>
      <w:tblPr>
        <w:tblStyle w:val="a3"/>
        <w:tblW w:w="9639" w:type="dxa"/>
        <w:tblInd w:w="108" w:type="dxa"/>
        <w:tblLook w:val="04A0" w:firstRow="1" w:lastRow="0" w:firstColumn="1" w:lastColumn="0" w:noHBand="0" w:noVBand="1"/>
      </w:tblPr>
      <w:tblGrid>
        <w:gridCol w:w="2835"/>
        <w:gridCol w:w="2268"/>
        <w:gridCol w:w="2464"/>
        <w:gridCol w:w="2072"/>
      </w:tblGrid>
      <w:tr w:rsidR="003100CF" w:rsidTr="003100CF">
        <w:tc>
          <w:tcPr>
            <w:tcW w:w="2835" w:type="dxa"/>
          </w:tcPr>
          <w:p w:rsidR="003100CF" w:rsidRPr="003100CF" w:rsidRDefault="003100CF" w:rsidP="003100CF">
            <w:pPr>
              <w:keepNext/>
              <w:widowControl w:val="0"/>
              <w:jc w:val="both"/>
              <w:rPr>
                <w:rFonts w:ascii="Times New Roman" w:eastAsia="Calibri" w:hAnsi="Times New Roman" w:cs="Times New Roman"/>
                <w:color w:val="000000"/>
                <w:sz w:val="28"/>
                <w:szCs w:val="28"/>
                <w:u w:color="000000"/>
              </w:rPr>
            </w:pPr>
            <w:r w:rsidRPr="003100CF">
              <w:rPr>
                <w:rFonts w:ascii="Times New Roman" w:eastAsia="Arial Unicode MS" w:hAnsi="Times New Roman" w:cs="Times New Roman"/>
                <w:color w:val="000000"/>
                <w:sz w:val="28"/>
                <w:szCs w:val="28"/>
                <w:u w:color="000000"/>
                <w:lang w:eastAsia="ru-RU"/>
              </w:rPr>
              <w:t xml:space="preserve">Пробы </w:t>
            </w:r>
          </w:p>
        </w:tc>
        <w:tc>
          <w:tcPr>
            <w:tcW w:w="2268"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Группа 1</w:t>
            </w:r>
          </w:p>
          <w:p w:rsidR="003100CF" w:rsidRPr="003100CF" w:rsidRDefault="009F4FE7"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К</w:t>
            </w:r>
            <w:r w:rsidR="003100CF" w:rsidRPr="003100CF">
              <w:rPr>
                <w:rFonts w:ascii="Times New Roman" w:eastAsia="Arial Unicode MS" w:hAnsi="Times New Roman" w:cs="Times New Roman"/>
                <w:color w:val="000000"/>
                <w:sz w:val="28"/>
                <w:szCs w:val="28"/>
                <w:u w:color="000000"/>
                <w:lang w:eastAsia="ru-RU"/>
              </w:rPr>
              <w:t>онтроль</w:t>
            </w:r>
            <w:r>
              <w:rPr>
                <w:rFonts w:ascii="Times New Roman" w:eastAsia="Arial Unicode MS" w:hAnsi="Times New Roman" w:cs="Times New Roman"/>
                <w:color w:val="000000"/>
                <w:sz w:val="28"/>
                <w:szCs w:val="28"/>
                <w:u w:color="000000"/>
                <w:lang w:eastAsia="ru-RU"/>
              </w:rPr>
              <w:t xml:space="preserve"> (с.Папан)</w:t>
            </w:r>
          </w:p>
          <w:p w:rsidR="003100CF" w:rsidRPr="009F4FE7" w:rsidRDefault="003100CF" w:rsidP="003100CF">
            <w:pPr>
              <w:keepNext/>
              <w:widowControl w:val="0"/>
              <w:jc w:val="center"/>
              <w:rPr>
                <w:rFonts w:ascii="Times New Roman" w:eastAsia="Calibri" w:hAnsi="Times New Roman" w:cs="Times New Roman"/>
                <w:color w:val="000000"/>
                <w:sz w:val="28"/>
                <w:szCs w:val="28"/>
                <w:u w:color="000000"/>
              </w:rPr>
            </w:pPr>
            <w:r w:rsidRPr="003100CF">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val="en-US" w:eastAsia="ru-RU"/>
              </w:rPr>
              <w:t>n</w:t>
            </w:r>
            <w:r w:rsidRPr="009F4FE7">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eastAsia="ru-RU"/>
              </w:rPr>
              <w:t>68</w:t>
            </w:r>
            <w:r w:rsidRPr="009F4FE7">
              <w:rPr>
                <w:rFonts w:ascii="Times New Roman" w:eastAsia="Arial Unicode MS" w:hAnsi="Times New Roman" w:cs="Times New Roman"/>
                <w:color w:val="000000"/>
                <w:sz w:val="28"/>
                <w:szCs w:val="28"/>
                <w:u w:color="000000"/>
                <w:lang w:eastAsia="ru-RU"/>
              </w:rPr>
              <w:t>)</w:t>
            </w:r>
          </w:p>
        </w:tc>
        <w:tc>
          <w:tcPr>
            <w:tcW w:w="2464"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Группа 2</w:t>
            </w:r>
          </w:p>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ЦЗ</w:t>
            </w:r>
            <w:r w:rsidR="009F4FE7">
              <w:rPr>
                <w:rFonts w:ascii="Times New Roman" w:eastAsia="Arial Unicode MS" w:hAnsi="Times New Roman" w:cs="Times New Roman"/>
                <w:color w:val="000000"/>
                <w:sz w:val="28"/>
                <w:szCs w:val="28"/>
                <w:u w:color="000000"/>
                <w:lang w:eastAsia="ru-RU"/>
              </w:rPr>
              <w:t xml:space="preserve"> (с.</w:t>
            </w:r>
            <w:r w:rsidR="00143E10">
              <w:rPr>
                <w:rFonts w:ascii="Times New Roman" w:eastAsia="Arial Unicode MS" w:hAnsi="Times New Roman" w:cs="Times New Roman"/>
                <w:color w:val="000000"/>
                <w:sz w:val="28"/>
                <w:szCs w:val="28"/>
                <w:u w:color="000000"/>
                <w:lang w:eastAsia="ru-RU"/>
              </w:rPr>
              <w:t>Гулбаар</w:t>
            </w:r>
            <w:r w:rsidR="009F4FE7">
              <w:rPr>
                <w:rFonts w:ascii="Times New Roman" w:eastAsia="Arial Unicode MS" w:hAnsi="Times New Roman" w:cs="Times New Roman"/>
                <w:color w:val="000000"/>
                <w:sz w:val="28"/>
                <w:szCs w:val="28"/>
                <w:u w:color="000000"/>
                <w:lang w:eastAsia="ru-RU"/>
              </w:rPr>
              <w:t>)</w:t>
            </w:r>
          </w:p>
          <w:p w:rsidR="003100CF" w:rsidRPr="009F4FE7" w:rsidRDefault="003100CF" w:rsidP="003100CF">
            <w:pPr>
              <w:keepNext/>
              <w:widowControl w:val="0"/>
              <w:jc w:val="center"/>
              <w:rPr>
                <w:rFonts w:ascii="Times New Roman" w:eastAsia="Calibri" w:hAnsi="Times New Roman" w:cs="Times New Roman"/>
                <w:color w:val="000000"/>
                <w:sz w:val="28"/>
                <w:szCs w:val="28"/>
                <w:u w:color="000000"/>
              </w:rPr>
            </w:pPr>
            <w:r w:rsidRPr="003100CF">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val="en-US" w:eastAsia="ru-RU"/>
              </w:rPr>
              <w:t>n</w:t>
            </w:r>
            <w:r w:rsidRPr="009F4FE7">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eastAsia="ru-RU"/>
              </w:rPr>
              <w:t>74</w:t>
            </w:r>
            <w:r w:rsidRPr="009F4FE7">
              <w:rPr>
                <w:rFonts w:ascii="Times New Roman" w:eastAsia="Arial Unicode MS" w:hAnsi="Times New Roman" w:cs="Times New Roman"/>
                <w:color w:val="000000"/>
                <w:sz w:val="28"/>
                <w:szCs w:val="28"/>
                <w:u w:color="000000"/>
                <w:lang w:eastAsia="ru-RU"/>
              </w:rPr>
              <w:t>)</w:t>
            </w:r>
          </w:p>
        </w:tc>
        <w:tc>
          <w:tcPr>
            <w:tcW w:w="2072"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Группа 3</w:t>
            </w:r>
          </w:p>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Тр</w:t>
            </w:r>
            <w:r w:rsidR="009F4FE7">
              <w:rPr>
                <w:rFonts w:ascii="Times New Roman" w:eastAsia="Arial Unicode MS" w:hAnsi="Times New Roman" w:cs="Times New Roman"/>
                <w:color w:val="000000"/>
                <w:sz w:val="28"/>
                <w:szCs w:val="28"/>
                <w:u w:color="000000"/>
                <w:lang w:eastAsia="ru-RU"/>
              </w:rPr>
              <w:t xml:space="preserve"> (г.Ош)</w:t>
            </w:r>
          </w:p>
          <w:p w:rsidR="003100CF" w:rsidRPr="009F4FE7" w:rsidRDefault="003100CF" w:rsidP="003100CF">
            <w:pPr>
              <w:keepNext/>
              <w:widowControl w:val="0"/>
              <w:jc w:val="center"/>
              <w:rPr>
                <w:rFonts w:ascii="Times New Roman" w:eastAsia="Calibri" w:hAnsi="Times New Roman" w:cs="Times New Roman"/>
                <w:color w:val="000000"/>
                <w:sz w:val="28"/>
                <w:szCs w:val="28"/>
                <w:u w:color="000000"/>
              </w:rPr>
            </w:pPr>
            <w:r w:rsidRPr="003100CF">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val="en-US" w:eastAsia="ru-RU"/>
              </w:rPr>
              <w:t>n</w:t>
            </w:r>
            <w:r w:rsidRPr="009F4FE7">
              <w:rPr>
                <w:rFonts w:ascii="Times New Roman" w:eastAsia="Arial Unicode MS" w:hAnsi="Times New Roman" w:cs="Times New Roman"/>
                <w:color w:val="000000"/>
                <w:sz w:val="28"/>
                <w:szCs w:val="28"/>
                <w:u w:color="000000"/>
                <w:lang w:eastAsia="ru-RU"/>
              </w:rPr>
              <w:t>=</w:t>
            </w:r>
            <w:r w:rsidRPr="003100CF">
              <w:rPr>
                <w:rFonts w:ascii="Times New Roman" w:eastAsia="Arial Unicode MS" w:hAnsi="Times New Roman" w:cs="Times New Roman"/>
                <w:color w:val="000000"/>
                <w:sz w:val="28"/>
                <w:szCs w:val="28"/>
                <w:u w:color="000000"/>
                <w:lang w:eastAsia="ru-RU"/>
              </w:rPr>
              <w:t>70</w:t>
            </w:r>
            <w:r w:rsidRPr="009F4FE7">
              <w:rPr>
                <w:rFonts w:ascii="Times New Roman" w:eastAsia="Arial Unicode MS" w:hAnsi="Times New Roman" w:cs="Times New Roman"/>
                <w:color w:val="000000"/>
                <w:sz w:val="28"/>
                <w:szCs w:val="28"/>
                <w:u w:color="000000"/>
                <w:lang w:eastAsia="ru-RU"/>
              </w:rPr>
              <w:t>)</w:t>
            </w:r>
          </w:p>
        </w:tc>
      </w:tr>
      <w:tr w:rsidR="003100CF" w:rsidTr="003100CF">
        <w:trPr>
          <w:trHeight w:val="189"/>
        </w:trPr>
        <w:tc>
          <w:tcPr>
            <w:tcW w:w="2835" w:type="dxa"/>
          </w:tcPr>
          <w:p w:rsidR="003100CF" w:rsidRPr="003100CF" w:rsidRDefault="003100CF" w:rsidP="003100CF">
            <w:pPr>
              <w:keepNext/>
              <w:widowControl w:val="0"/>
              <w:jc w:val="both"/>
              <w:rPr>
                <w:rFonts w:ascii="Times New Roman" w:hAnsi="Times New Roman" w:cs="Times New Roman"/>
                <w:color w:val="000000"/>
                <w:sz w:val="28"/>
                <w:szCs w:val="28"/>
                <w:lang w:eastAsia="ru-RU"/>
              </w:rPr>
            </w:pPr>
            <w:r w:rsidRPr="003100CF">
              <w:rPr>
                <w:rFonts w:ascii="Times New Roman" w:eastAsia="Arial Unicode MS" w:hAnsi="Times New Roman" w:cs="Times New Roman"/>
                <w:color w:val="000000"/>
                <w:sz w:val="28"/>
                <w:szCs w:val="28"/>
                <w:u w:color="000000"/>
                <w:lang w:eastAsia="ru-RU"/>
              </w:rPr>
              <w:t>Проба Штанге</w:t>
            </w:r>
            <w:r w:rsidR="00CF0C43">
              <w:rPr>
                <w:rFonts w:ascii="Times New Roman" w:eastAsia="Arial Unicode MS" w:hAnsi="Times New Roman" w:cs="Times New Roman"/>
                <w:color w:val="000000"/>
                <w:sz w:val="28"/>
                <w:szCs w:val="28"/>
                <w:u w:color="000000"/>
                <w:lang w:eastAsia="ru-RU"/>
              </w:rPr>
              <w:t xml:space="preserve"> (сек.)</w:t>
            </w:r>
          </w:p>
        </w:tc>
        <w:tc>
          <w:tcPr>
            <w:tcW w:w="2268"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val="en-US" w:eastAsia="ru-RU"/>
              </w:rPr>
            </w:pPr>
            <w:r w:rsidRPr="003100CF">
              <w:rPr>
                <w:rFonts w:ascii="Times New Roman" w:eastAsia="Arial Unicode MS" w:hAnsi="Times New Roman" w:cs="Times New Roman"/>
                <w:color w:val="000000"/>
                <w:sz w:val="28"/>
                <w:szCs w:val="28"/>
                <w:u w:color="000000"/>
                <w:lang w:eastAsia="ru-RU"/>
              </w:rPr>
              <w:t>38,5</w:t>
            </w:r>
            <w:r w:rsidRPr="003100CF">
              <w:rPr>
                <w:rFonts w:ascii="Times New Roman" w:eastAsia="Arial Unicode MS" w:hAnsi="Times New Roman" w:cs="Times New Roman"/>
                <w:color w:val="000000"/>
                <w:sz w:val="28"/>
                <w:szCs w:val="28"/>
                <w:u w:color="000000"/>
                <w:lang w:val="en-US" w:eastAsia="ru-RU"/>
              </w:rPr>
              <w:t>±</w:t>
            </w:r>
            <w:r w:rsidRPr="003100CF">
              <w:rPr>
                <w:rFonts w:ascii="Times New Roman" w:eastAsia="Arial Unicode MS" w:hAnsi="Times New Roman" w:cs="Times New Roman"/>
                <w:color w:val="000000"/>
                <w:sz w:val="28"/>
                <w:szCs w:val="28"/>
                <w:u w:color="000000"/>
                <w:lang w:eastAsia="ru-RU"/>
              </w:rPr>
              <w:t>4,</w:t>
            </w:r>
            <w:r w:rsidRPr="003100CF">
              <w:rPr>
                <w:rFonts w:ascii="Times New Roman" w:eastAsia="Arial Unicode MS" w:hAnsi="Times New Roman" w:cs="Times New Roman"/>
                <w:color w:val="000000"/>
                <w:sz w:val="28"/>
                <w:szCs w:val="28"/>
                <w:u w:color="000000"/>
                <w:lang w:val="en-US" w:eastAsia="ru-RU"/>
              </w:rPr>
              <w:t>5</w:t>
            </w:r>
          </w:p>
        </w:tc>
        <w:tc>
          <w:tcPr>
            <w:tcW w:w="2464"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val="en-US" w:eastAsia="ru-RU"/>
              </w:rPr>
              <w:t>28</w:t>
            </w:r>
            <w:r w:rsidRPr="003100CF">
              <w:rPr>
                <w:rFonts w:ascii="Times New Roman" w:eastAsia="Arial Unicode MS" w:hAnsi="Times New Roman" w:cs="Times New Roman"/>
                <w:color w:val="000000"/>
                <w:sz w:val="28"/>
                <w:szCs w:val="28"/>
                <w:u w:color="000000"/>
                <w:lang w:eastAsia="ru-RU"/>
              </w:rPr>
              <w:t>,2</w:t>
            </w:r>
            <w:r w:rsidRPr="003100CF">
              <w:rPr>
                <w:rFonts w:ascii="Times New Roman" w:eastAsia="Arial Unicode MS" w:hAnsi="Times New Roman" w:cs="Times New Roman"/>
                <w:color w:val="000000"/>
                <w:sz w:val="28"/>
                <w:szCs w:val="28"/>
                <w:u w:color="000000"/>
                <w:lang w:val="en-US" w:eastAsia="ru-RU"/>
              </w:rPr>
              <w:t>±</w:t>
            </w:r>
            <w:r w:rsidRPr="003100CF">
              <w:rPr>
                <w:rFonts w:ascii="Times New Roman" w:eastAsia="Arial Unicode MS" w:hAnsi="Times New Roman" w:cs="Times New Roman"/>
                <w:color w:val="000000"/>
                <w:sz w:val="28"/>
                <w:szCs w:val="28"/>
                <w:u w:color="000000"/>
                <w:lang w:eastAsia="ru-RU"/>
              </w:rPr>
              <w:t>3,</w:t>
            </w:r>
            <w:r w:rsidRPr="003100CF">
              <w:rPr>
                <w:rFonts w:ascii="Times New Roman" w:eastAsia="Arial Unicode MS" w:hAnsi="Times New Roman" w:cs="Times New Roman"/>
                <w:color w:val="000000"/>
                <w:sz w:val="28"/>
                <w:szCs w:val="28"/>
                <w:u w:color="000000"/>
                <w:lang w:val="en-US" w:eastAsia="ru-RU"/>
              </w:rPr>
              <w:t>8</w:t>
            </w:r>
            <w:r w:rsidRPr="003100CF">
              <w:rPr>
                <w:rFonts w:ascii="Times New Roman" w:eastAsia="Arial Unicode MS" w:hAnsi="Times New Roman" w:cs="Times New Roman"/>
                <w:color w:val="000000"/>
                <w:sz w:val="28"/>
                <w:szCs w:val="28"/>
                <w:u w:color="000000"/>
                <w:lang w:eastAsia="ru-RU"/>
              </w:rPr>
              <w:t>*</w:t>
            </w:r>
          </w:p>
        </w:tc>
        <w:tc>
          <w:tcPr>
            <w:tcW w:w="2072"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val="en-US" w:eastAsia="ru-RU"/>
              </w:rPr>
            </w:pPr>
            <w:r w:rsidRPr="003100CF">
              <w:rPr>
                <w:rFonts w:ascii="Times New Roman" w:eastAsia="Arial Unicode MS" w:hAnsi="Times New Roman" w:cs="Times New Roman"/>
                <w:color w:val="000000"/>
                <w:sz w:val="28"/>
                <w:szCs w:val="28"/>
                <w:u w:color="000000"/>
                <w:lang w:val="en-US" w:eastAsia="ru-RU"/>
              </w:rPr>
              <w:t>31</w:t>
            </w:r>
            <w:r w:rsidRPr="003100CF">
              <w:rPr>
                <w:rFonts w:ascii="Times New Roman" w:eastAsia="Arial Unicode MS" w:hAnsi="Times New Roman" w:cs="Times New Roman"/>
                <w:color w:val="000000"/>
                <w:sz w:val="28"/>
                <w:szCs w:val="28"/>
                <w:u w:color="000000"/>
                <w:lang w:eastAsia="ru-RU"/>
              </w:rPr>
              <w:t>,6</w:t>
            </w:r>
            <w:r w:rsidRPr="003100CF">
              <w:rPr>
                <w:rFonts w:ascii="Times New Roman" w:eastAsia="Arial Unicode MS" w:hAnsi="Times New Roman" w:cs="Times New Roman"/>
                <w:color w:val="000000"/>
                <w:sz w:val="28"/>
                <w:szCs w:val="28"/>
                <w:u w:color="000000"/>
                <w:lang w:val="en-US" w:eastAsia="ru-RU"/>
              </w:rPr>
              <w:t>±</w:t>
            </w:r>
            <w:r w:rsidRPr="003100CF">
              <w:rPr>
                <w:rFonts w:ascii="Times New Roman" w:eastAsia="Arial Unicode MS" w:hAnsi="Times New Roman" w:cs="Times New Roman"/>
                <w:color w:val="000000"/>
                <w:sz w:val="28"/>
                <w:szCs w:val="28"/>
                <w:u w:color="000000"/>
                <w:lang w:eastAsia="ru-RU"/>
              </w:rPr>
              <w:t>2,0*</w:t>
            </w:r>
            <w:r w:rsidRPr="003100CF">
              <w:rPr>
                <w:rFonts w:ascii="Times New Roman" w:eastAsia="Arial Unicode MS" w:hAnsi="Times New Roman" w:cs="Times New Roman"/>
                <w:color w:val="000000"/>
                <w:sz w:val="28"/>
                <w:szCs w:val="28"/>
                <w:u w:color="000000"/>
                <w:lang w:val="en-US" w:eastAsia="ru-RU"/>
              </w:rPr>
              <w:t>#</w:t>
            </w:r>
          </w:p>
        </w:tc>
      </w:tr>
      <w:tr w:rsidR="003100CF" w:rsidTr="003100CF">
        <w:tc>
          <w:tcPr>
            <w:tcW w:w="2835" w:type="dxa"/>
          </w:tcPr>
          <w:p w:rsidR="003100CF" w:rsidRPr="003100CF" w:rsidRDefault="00CF514E" w:rsidP="003100CF">
            <w:pPr>
              <w:keepNext/>
              <w:widowControl w:val="0"/>
              <w:jc w:val="both"/>
              <w:rPr>
                <w:rFonts w:ascii="Times New Roman" w:eastAsia="Arial Unicode MS" w:hAnsi="Times New Roman" w:cs="Times New Roman"/>
                <w:color w:val="000000"/>
                <w:sz w:val="28"/>
                <w:szCs w:val="28"/>
                <w:u w:color="000000"/>
                <w:lang w:eastAsia="ru-RU"/>
              </w:rPr>
            </w:pPr>
            <w:r>
              <w:rPr>
                <w:rFonts w:ascii="Times New Roman" w:eastAsia="Arial Unicode MS" w:hAnsi="Times New Roman" w:cs="Times New Roman"/>
                <w:color w:val="000000"/>
                <w:sz w:val="28"/>
                <w:szCs w:val="28"/>
                <w:u w:color="000000"/>
                <w:lang w:eastAsia="ru-RU"/>
              </w:rPr>
              <w:t>Проба Ге</w:t>
            </w:r>
            <w:r w:rsidR="003100CF" w:rsidRPr="003100CF">
              <w:rPr>
                <w:rFonts w:ascii="Times New Roman" w:eastAsia="Arial Unicode MS" w:hAnsi="Times New Roman" w:cs="Times New Roman"/>
                <w:color w:val="000000"/>
                <w:sz w:val="28"/>
                <w:szCs w:val="28"/>
                <w:u w:color="000000"/>
                <w:lang w:eastAsia="ru-RU"/>
              </w:rPr>
              <w:t xml:space="preserve">нчи </w:t>
            </w:r>
            <w:r w:rsidR="00CF0C43">
              <w:rPr>
                <w:rFonts w:ascii="Times New Roman" w:eastAsia="Arial Unicode MS" w:hAnsi="Times New Roman" w:cs="Times New Roman"/>
                <w:color w:val="000000"/>
                <w:sz w:val="28"/>
                <w:szCs w:val="28"/>
                <w:u w:color="000000"/>
                <w:lang w:eastAsia="ru-RU"/>
              </w:rPr>
              <w:t>(сек).</w:t>
            </w:r>
          </w:p>
        </w:tc>
        <w:tc>
          <w:tcPr>
            <w:tcW w:w="2268"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val="en-US" w:eastAsia="ru-RU"/>
              </w:rPr>
            </w:pPr>
            <w:r w:rsidRPr="003100CF">
              <w:rPr>
                <w:rFonts w:ascii="Times New Roman" w:eastAsia="Arial Unicode MS" w:hAnsi="Times New Roman" w:cs="Times New Roman"/>
                <w:color w:val="000000"/>
                <w:sz w:val="28"/>
                <w:szCs w:val="28"/>
                <w:u w:color="000000"/>
                <w:lang w:eastAsia="ru-RU"/>
              </w:rPr>
              <w:t>34,0</w:t>
            </w:r>
            <w:r w:rsidRPr="003100CF">
              <w:rPr>
                <w:rFonts w:ascii="Times New Roman" w:eastAsia="Arial Unicode MS" w:hAnsi="Times New Roman" w:cs="Times New Roman"/>
                <w:color w:val="000000"/>
                <w:sz w:val="28"/>
                <w:szCs w:val="28"/>
                <w:u w:color="000000"/>
                <w:lang w:val="en-US" w:eastAsia="ru-RU"/>
              </w:rPr>
              <w:t>±</w:t>
            </w:r>
            <w:r w:rsidRPr="003100CF">
              <w:rPr>
                <w:rFonts w:ascii="Times New Roman" w:eastAsia="Arial Unicode MS" w:hAnsi="Times New Roman" w:cs="Times New Roman"/>
                <w:color w:val="000000"/>
                <w:sz w:val="28"/>
                <w:szCs w:val="28"/>
                <w:u w:color="000000"/>
                <w:lang w:eastAsia="ru-RU"/>
              </w:rPr>
              <w:t>2</w:t>
            </w:r>
            <w:r w:rsidRPr="003100CF">
              <w:rPr>
                <w:rFonts w:ascii="Times New Roman" w:eastAsia="Arial Unicode MS" w:hAnsi="Times New Roman" w:cs="Times New Roman"/>
                <w:color w:val="000000"/>
                <w:sz w:val="28"/>
                <w:szCs w:val="28"/>
                <w:u w:color="000000"/>
                <w:lang w:val="en-US" w:eastAsia="ru-RU"/>
              </w:rPr>
              <w:t>,</w:t>
            </w:r>
            <w:r w:rsidRPr="003100CF">
              <w:rPr>
                <w:rFonts w:ascii="Times New Roman" w:eastAsia="Arial Unicode MS" w:hAnsi="Times New Roman" w:cs="Times New Roman"/>
                <w:color w:val="000000"/>
                <w:sz w:val="28"/>
                <w:szCs w:val="28"/>
                <w:u w:color="000000"/>
                <w:lang w:eastAsia="ru-RU"/>
              </w:rPr>
              <w:t>1</w:t>
            </w:r>
          </w:p>
        </w:tc>
        <w:tc>
          <w:tcPr>
            <w:tcW w:w="2464"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eastAsia="ru-RU"/>
              </w:rPr>
            </w:pPr>
            <w:r w:rsidRPr="003100CF">
              <w:rPr>
                <w:rFonts w:ascii="Times New Roman" w:eastAsia="Arial Unicode MS" w:hAnsi="Times New Roman" w:cs="Times New Roman"/>
                <w:color w:val="000000"/>
                <w:sz w:val="28"/>
                <w:szCs w:val="28"/>
                <w:u w:color="000000"/>
                <w:lang w:eastAsia="ru-RU"/>
              </w:rPr>
              <w:t>23</w:t>
            </w:r>
            <w:r w:rsidRPr="003100CF">
              <w:rPr>
                <w:rFonts w:ascii="Times New Roman" w:eastAsia="Arial Unicode MS" w:hAnsi="Times New Roman" w:cs="Times New Roman"/>
                <w:color w:val="000000"/>
                <w:sz w:val="28"/>
                <w:szCs w:val="28"/>
                <w:u w:color="000000"/>
                <w:lang w:val="en-US" w:eastAsia="ru-RU"/>
              </w:rPr>
              <w:t>,6±</w:t>
            </w:r>
            <w:r w:rsidRPr="003100CF">
              <w:rPr>
                <w:rFonts w:ascii="Times New Roman" w:eastAsia="Arial Unicode MS" w:hAnsi="Times New Roman" w:cs="Times New Roman"/>
                <w:color w:val="000000"/>
                <w:sz w:val="28"/>
                <w:szCs w:val="28"/>
                <w:u w:color="000000"/>
                <w:lang w:eastAsia="ru-RU"/>
              </w:rPr>
              <w:t>4</w:t>
            </w:r>
            <w:r w:rsidRPr="003100CF">
              <w:rPr>
                <w:rFonts w:ascii="Times New Roman" w:eastAsia="Arial Unicode MS" w:hAnsi="Times New Roman" w:cs="Times New Roman"/>
                <w:color w:val="000000"/>
                <w:sz w:val="28"/>
                <w:szCs w:val="28"/>
                <w:u w:color="000000"/>
                <w:lang w:val="en-US" w:eastAsia="ru-RU"/>
              </w:rPr>
              <w:t>,1</w:t>
            </w:r>
            <w:r w:rsidRPr="003100CF">
              <w:rPr>
                <w:rFonts w:ascii="Times New Roman" w:eastAsia="Arial Unicode MS" w:hAnsi="Times New Roman" w:cs="Times New Roman"/>
                <w:color w:val="000000"/>
                <w:sz w:val="28"/>
                <w:szCs w:val="28"/>
                <w:u w:color="000000"/>
                <w:lang w:eastAsia="ru-RU"/>
              </w:rPr>
              <w:t>*</w:t>
            </w:r>
          </w:p>
        </w:tc>
        <w:tc>
          <w:tcPr>
            <w:tcW w:w="2072" w:type="dxa"/>
          </w:tcPr>
          <w:p w:rsidR="003100CF" w:rsidRPr="003100CF" w:rsidRDefault="003100CF" w:rsidP="003100CF">
            <w:pPr>
              <w:keepNext/>
              <w:widowControl w:val="0"/>
              <w:jc w:val="center"/>
              <w:rPr>
                <w:rFonts w:ascii="Times New Roman" w:eastAsia="Arial Unicode MS" w:hAnsi="Times New Roman" w:cs="Times New Roman"/>
                <w:color w:val="000000"/>
                <w:sz w:val="28"/>
                <w:szCs w:val="28"/>
                <w:u w:color="000000"/>
                <w:lang w:val="en-US" w:eastAsia="ru-RU"/>
              </w:rPr>
            </w:pPr>
            <w:r w:rsidRPr="003100CF">
              <w:rPr>
                <w:rFonts w:ascii="Times New Roman" w:eastAsia="Arial Unicode MS" w:hAnsi="Times New Roman" w:cs="Times New Roman"/>
                <w:color w:val="000000"/>
                <w:sz w:val="28"/>
                <w:szCs w:val="28"/>
                <w:u w:color="000000"/>
                <w:lang w:eastAsia="ru-RU"/>
              </w:rPr>
              <w:t>25</w:t>
            </w:r>
            <w:r w:rsidRPr="003100CF">
              <w:rPr>
                <w:rFonts w:ascii="Times New Roman" w:eastAsia="Arial Unicode MS" w:hAnsi="Times New Roman" w:cs="Times New Roman"/>
                <w:color w:val="000000"/>
                <w:sz w:val="28"/>
                <w:szCs w:val="28"/>
                <w:u w:color="000000"/>
                <w:lang w:val="en-US" w:eastAsia="ru-RU"/>
              </w:rPr>
              <w:t>,7±</w:t>
            </w:r>
            <w:r w:rsidRPr="003100CF">
              <w:rPr>
                <w:rFonts w:ascii="Times New Roman" w:eastAsia="Arial Unicode MS" w:hAnsi="Times New Roman" w:cs="Times New Roman"/>
                <w:color w:val="000000"/>
                <w:sz w:val="28"/>
                <w:szCs w:val="28"/>
                <w:u w:color="000000"/>
                <w:lang w:eastAsia="ru-RU"/>
              </w:rPr>
              <w:t>3</w:t>
            </w:r>
            <w:r w:rsidRPr="003100CF">
              <w:rPr>
                <w:rFonts w:ascii="Times New Roman" w:eastAsia="Arial Unicode MS" w:hAnsi="Times New Roman" w:cs="Times New Roman"/>
                <w:color w:val="000000"/>
                <w:sz w:val="28"/>
                <w:szCs w:val="28"/>
                <w:u w:color="000000"/>
                <w:lang w:val="en-US" w:eastAsia="ru-RU"/>
              </w:rPr>
              <w:t>,9</w:t>
            </w:r>
            <w:r w:rsidRPr="003100CF">
              <w:rPr>
                <w:rFonts w:ascii="Times New Roman" w:eastAsia="Arial Unicode MS" w:hAnsi="Times New Roman" w:cs="Times New Roman"/>
                <w:color w:val="000000"/>
                <w:sz w:val="28"/>
                <w:szCs w:val="28"/>
                <w:u w:color="000000"/>
                <w:lang w:eastAsia="ru-RU"/>
              </w:rPr>
              <w:t>*</w:t>
            </w:r>
          </w:p>
        </w:tc>
      </w:tr>
    </w:tbl>
    <w:p w:rsidR="00E75DE8" w:rsidRPr="003100CF" w:rsidRDefault="00E75DE8" w:rsidP="00E75DE8">
      <w:pPr>
        <w:spacing w:after="0" w:line="240" w:lineRule="auto"/>
        <w:jc w:val="both"/>
        <w:rPr>
          <w:rFonts w:ascii="Times New Roman" w:hAnsi="Times New Roman" w:cs="Times New Roman"/>
          <w:sz w:val="12"/>
          <w:szCs w:val="28"/>
        </w:rPr>
      </w:pPr>
    </w:p>
    <w:p w:rsidR="00E75DE8" w:rsidRPr="003100CF" w:rsidRDefault="001301DD" w:rsidP="001301DD">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lastRenderedPageBreak/>
        <w:t>Примечание:</w:t>
      </w:r>
      <w:r w:rsidR="00E75DE8" w:rsidRPr="003100CF">
        <w:rPr>
          <w:rFonts w:ascii="Times New Roman" w:hAnsi="Times New Roman" w:cs="Times New Roman"/>
          <w:i/>
          <w:sz w:val="24"/>
          <w:szCs w:val="28"/>
        </w:rPr>
        <w:t>* - p&lt;0,05 по срав</w:t>
      </w:r>
      <w:r>
        <w:rPr>
          <w:rFonts w:ascii="Times New Roman" w:hAnsi="Times New Roman" w:cs="Times New Roman"/>
          <w:i/>
          <w:sz w:val="24"/>
          <w:szCs w:val="28"/>
        </w:rPr>
        <w:t xml:space="preserve">нению с гр.1  (кр.Манна-Уитни) . </w:t>
      </w:r>
      <w:r w:rsidR="00E75DE8" w:rsidRPr="003100CF">
        <w:rPr>
          <w:rFonts w:ascii="Times New Roman" w:hAnsi="Times New Roman" w:cs="Times New Roman"/>
          <w:i/>
          <w:sz w:val="24"/>
          <w:szCs w:val="28"/>
        </w:rPr>
        <w:t># - p&lt;0,05 по сравнению с гр.2  (кр.Манна-Уитни)</w:t>
      </w:r>
    </w:p>
    <w:p w:rsidR="00E75DE8" w:rsidRPr="00EB2A10" w:rsidRDefault="00E75DE8" w:rsidP="00E75DE8">
      <w:pPr>
        <w:spacing w:after="0" w:line="240" w:lineRule="auto"/>
        <w:jc w:val="both"/>
        <w:rPr>
          <w:rFonts w:ascii="Times New Roman" w:hAnsi="Times New Roman" w:cs="Times New Roman"/>
          <w:sz w:val="20"/>
          <w:szCs w:val="28"/>
        </w:rPr>
      </w:pPr>
    </w:p>
    <w:p w:rsidR="00E75DE8" w:rsidRDefault="00E75DE8" w:rsidP="001301D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Оценка функции внешнего дыхания у лиц, проживающих в условиях загрязненного </w:t>
      </w:r>
      <w:r w:rsidR="0009734E">
        <w:rPr>
          <w:rFonts w:ascii="Times New Roman" w:hAnsi="Times New Roman" w:cs="Times New Roman"/>
          <w:sz w:val="28"/>
          <w:szCs w:val="28"/>
        </w:rPr>
        <w:t xml:space="preserve">атмосферного воздуха, показала </w:t>
      </w:r>
      <w:r w:rsidRPr="00E75DE8">
        <w:rPr>
          <w:rFonts w:ascii="Times New Roman" w:hAnsi="Times New Roman" w:cs="Times New Roman"/>
          <w:sz w:val="28"/>
          <w:szCs w:val="28"/>
        </w:rPr>
        <w:t>значимо</w:t>
      </w:r>
      <w:r w:rsidR="0009734E">
        <w:rPr>
          <w:rFonts w:ascii="Times New Roman" w:hAnsi="Times New Roman" w:cs="Times New Roman"/>
          <w:sz w:val="28"/>
          <w:szCs w:val="28"/>
        </w:rPr>
        <w:t>е</w:t>
      </w:r>
      <w:r w:rsidRPr="00E75DE8">
        <w:rPr>
          <w:rFonts w:ascii="Times New Roman" w:hAnsi="Times New Roman" w:cs="Times New Roman"/>
          <w:sz w:val="28"/>
          <w:szCs w:val="28"/>
        </w:rPr>
        <w:t xml:space="preserve"> </w:t>
      </w:r>
      <w:r w:rsidR="0009734E">
        <w:rPr>
          <w:rFonts w:ascii="Times New Roman" w:hAnsi="Times New Roman" w:cs="Times New Roman"/>
          <w:sz w:val="28"/>
          <w:szCs w:val="28"/>
        </w:rPr>
        <w:t>по</w:t>
      </w:r>
      <w:r w:rsidRPr="00E75DE8">
        <w:rPr>
          <w:rFonts w:ascii="Times New Roman" w:hAnsi="Times New Roman" w:cs="Times New Roman"/>
          <w:sz w:val="28"/>
          <w:szCs w:val="28"/>
        </w:rPr>
        <w:t>выше</w:t>
      </w:r>
      <w:r w:rsidR="0009734E">
        <w:rPr>
          <w:rFonts w:ascii="Times New Roman" w:hAnsi="Times New Roman" w:cs="Times New Roman"/>
          <w:sz w:val="28"/>
          <w:szCs w:val="28"/>
        </w:rPr>
        <w:t xml:space="preserve">ние </w:t>
      </w:r>
      <w:r w:rsidRPr="00E75DE8">
        <w:rPr>
          <w:rFonts w:ascii="Times New Roman" w:hAnsi="Times New Roman" w:cs="Times New Roman"/>
          <w:sz w:val="28"/>
          <w:szCs w:val="28"/>
        </w:rPr>
        <w:t xml:space="preserve">ЧДД, несколько повышен уровень  МОД,  тогда как показатели  ЖЕЛ, РО вдоха, ОФВ1 и ИТ были достоверно снижены. </w:t>
      </w:r>
      <w:r w:rsidR="004773FF" w:rsidRPr="004773FF">
        <w:rPr>
          <w:rFonts w:ascii="Times New Roman" w:hAnsi="Times New Roman" w:cs="Times New Roman"/>
          <w:sz w:val="28"/>
          <w:szCs w:val="28"/>
        </w:rPr>
        <w:t>Уровень показателя ИТ составил в контрольной группе составил 76,3±3,6 %, во второй и третьей группах его величина были достоверно меньше (p&lt;0,05): соответственно 59,3±3,8 и 65,2±4,3 %</w:t>
      </w:r>
      <w:r w:rsidR="004773FF">
        <w:rPr>
          <w:rFonts w:ascii="Times New Roman" w:hAnsi="Times New Roman" w:cs="Times New Roman"/>
          <w:sz w:val="28"/>
          <w:szCs w:val="28"/>
        </w:rPr>
        <w:t>.</w:t>
      </w:r>
    </w:p>
    <w:p w:rsidR="004773FF" w:rsidRDefault="004773FF" w:rsidP="004773FF">
      <w:pPr>
        <w:spacing w:after="0" w:line="240" w:lineRule="auto"/>
        <w:jc w:val="both"/>
        <w:rPr>
          <w:rFonts w:ascii="Times New Roman" w:hAnsi="Times New Roman" w:cs="Times New Roman"/>
          <w:sz w:val="28"/>
          <w:szCs w:val="28"/>
        </w:rPr>
      </w:pPr>
      <w:r w:rsidRPr="00CF4299">
        <w:rPr>
          <w:rFonts w:ascii="Times New Roman" w:hAnsi="Times New Roman" w:cs="Times New Roman"/>
          <w:noProof/>
          <w:sz w:val="28"/>
          <w:szCs w:val="28"/>
          <w:lang w:eastAsia="ru-RU"/>
        </w:rPr>
        <w:drawing>
          <wp:inline distT="0" distB="0" distL="114300" distR="114300" wp14:anchorId="4059FBB9" wp14:editId="571ABE73">
            <wp:extent cx="3079750" cy="1974850"/>
            <wp:effectExtent l="0" t="0" r="6350" b="635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CF4299">
        <w:rPr>
          <w:rFonts w:ascii="Times New Roman" w:hAnsi="Times New Roman" w:cs="Times New Roman"/>
          <w:noProof/>
          <w:sz w:val="28"/>
          <w:szCs w:val="28"/>
          <w:lang w:eastAsia="ru-RU"/>
        </w:rPr>
        <w:drawing>
          <wp:inline distT="0" distB="0" distL="114300" distR="114300" wp14:anchorId="7C4863BB" wp14:editId="0026E6E3">
            <wp:extent cx="2901950" cy="1943100"/>
            <wp:effectExtent l="0" t="0" r="1270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5DE8" w:rsidRPr="00E75DE8" w:rsidRDefault="004773FF" w:rsidP="00477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DE8" w:rsidRPr="00343A7D">
        <w:rPr>
          <w:rFonts w:ascii="Times New Roman" w:hAnsi="Times New Roman" w:cs="Times New Roman"/>
          <w:b/>
          <w:sz w:val="28"/>
          <w:szCs w:val="28"/>
        </w:rPr>
        <w:t>Оценка данных риноманометрии</w:t>
      </w:r>
      <w:r w:rsidR="00E75DE8" w:rsidRPr="00E75DE8">
        <w:rPr>
          <w:rFonts w:ascii="Times New Roman" w:hAnsi="Times New Roman" w:cs="Times New Roman"/>
          <w:sz w:val="28"/>
          <w:szCs w:val="28"/>
        </w:rPr>
        <w:t xml:space="preserve"> также свидетельствовала о наличии выраженных различий этих показателей в группах обследуемых: значение показателя суммарного объемного потока было снижено у лиц, проживающих в условиях загрязненного атмосферного воздуха, а  величина суммарного сопротивления, напротив,  была достоверно повышена.</w:t>
      </w:r>
      <w:r w:rsidR="009F4FE7">
        <w:rPr>
          <w:rFonts w:ascii="Times New Roman" w:hAnsi="Times New Roman" w:cs="Times New Roman"/>
          <w:sz w:val="28"/>
          <w:szCs w:val="28"/>
        </w:rPr>
        <w:t xml:space="preserve"> </w:t>
      </w:r>
    </w:p>
    <w:p w:rsidR="00E75DE8" w:rsidRPr="00343A7D" w:rsidRDefault="00E75DE8" w:rsidP="00343A7D">
      <w:pPr>
        <w:spacing w:after="0" w:line="240" w:lineRule="auto"/>
        <w:ind w:firstLine="709"/>
        <w:jc w:val="both"/>
        <w:rPr>
          <w:rFonts w:ascii="Times New Roman" w:hAnsi="Times New Roman" w:cs="Times New Roman"/>
          <w:b/>
          <w:sz w:val="28"/>
          <w:szCs w:val="28"/>
        </w:rPr>
      </w:pPr>
      <w:r w:rsidRPr="00343A7D">
        <w:rPr>
          <w:rFonts w:ascii="Times New Roman" w:hAnsi="Times New Roman" w:cs="Times New Roman"/>
          <w:b/>
          <w:sz w:val="28"/>
          <w:szCs w:val="28"/>
        </w:rPr>
        <w:t>3.4.</w:t>
      </w:r>
      <w:r w:rsidR="00EB2A10">
        <w:rPr>
          <w:rFonts w:ascii="Times New Roman" w:hAnsi="Times New Roman" w:cs="Times New Roman"/>
          <w:b/>
          <w:sz w:val="28"/>
          <w:szCs w:val="28"/>
        </w:rPr>
        <w:t xml:space="preserve"> </w:t>
      </w:r>
      <w:r w:rsidRPr="00343A7D">
        <w:rPr>
          <w:rFonts w:ascii="Times New Roman" w:hAnsi="Times New Roman" w:cs="Times New Roman"/>
          <w:b/>
          <w:sz w:val="28"/>
          <w:szCs w:val="28"/>
        </w:rPr>
        <w:t>Характеристика микрофлоры полости носа и зева у обследуемых.</w:t>
      </w:r>
    </w:p>
    <w:p w:rsidR="00E75DE8" w:rsidRPr="00E75DE8" w:rsidRDefault="00E75DE8" w:rsidP="00343A7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Изучение особенностей микрофлоры полости носа и зева показало, что наиболее часто выявляемым возбудителем у обследуемых из группах 2 и 3 были  St. Aureus  и Str. Pyogenes . Частота обнаружения  St. Aureus во второй группе составила 50,0% (37 случаев), в третьей группе - 60,0% (42 случая), тогда как в контрольной группе этот возбудитель был выявлен только у 3 обследуемых (8,8%), что было статистически значимо ниже (p&lt;0,001 в обоих случаях) величин у обследуемых групп 2 и 3. Str. Pyogenes был высеян у 22  человек (29,7%) из второй группы и у 27 обследуемых (38,6%) из третьей группы, что в обоих случаях было достоверно выше соответствующего значения в контрольной группе (p=0,026 и p=0,014 соответственно), где  этот возбудитель был выявлен только у 6 человек (8,8%).</w:t>
      </w:r>
    </w:p>
    <w:p w:rsidR="00E75DE8" w:rsidRPr="00E75DE8" w:rsidRDefault="00E75DE8" w:rsidP="00343A7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В контрольной группе наиболее часто выявлялся Enterococcus faec. - у 9 обследуемых (13,2%), однако эта величина была меньше таковых в группах 1 и 2, где значение данного показателя составило  соответственно 16 (21,6%) и 13 (18,6%) случаев (p&gt;0,05). </w:t>
      </w:r>
    </w:p>
    <w:p w:rsidR="00E75DE8" w:rsidRPr="00E75DE8" w:rsidRDefault="00E75DE8" w:rsidP="00343A7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Возбудитель Klebsiella pneum. был обнаружен у 11 (14,9%) человек из второй группы и у 10 обследуемых (14,3%) из третьей группы, что было статистически значимо выше (p=0,015 и p=0,008), чем в группе 1, где было 2 подобных случая (2,9%). Еще реже выявлялись Candida albicans - в 8 случаях (10,8 и 11,4%) в группах 2 и 3, но только в одном случае (1,5%) в группе 1. При этом отмечены статистически значимые различия уровней показателя в группах 2 и 3 относительно такового в контроле. Исследование показало, что монофлора выявлялась у 37 обследуемых  (52,9%) третьей группы, статистически значимо чаще (p=0,035), чем в контроле - 15 (22,1%) случая.В группе 2 значение  показателя составило 28 (37,8%) и достоверно не отличалось от уровней в группах 1 и 3. Во второй группе наиболее часто выявлялась микстфлора - у 46 обследуемых (62,2%), в третьей группе величина показателя  была ниже  - 47,1% (33 случая), но эти значения были достоверно выше, чем в группе 1  - 11,7% (8 случаев). Не выявлено никаких возбудителей у 45 обследуемых (66,2%) контрольной группы,    в группах лиц, проживающих в районе цементного завода и в местности с высокой плотностью траффика, таких случаев не установлено, у всех обследуемых выявлялись какие-либо возбудители респираторных заболеваний. </w:t>
      </w:r>
    </w:p>
    <w:p w:rsidR="00E75DE8" w:rsidRPr="00343A7D" w:rsidRDefault="00E75DE8" w:rsidP="00343A7D">
      <w:pPr>
        <w:spacing w:after="0" w:line="240" w:lineRule="auto"/>
        <w:ind w:firstLine="709"/>
        <w:jc w:val="both"/>
        <w:rPr>
          <w:rFonts w:ascii="Times New Roman" w:hAnsi="Times New Roman" w:cs="Times New Roman"/>
          <w:b/>
          <w:sz w:val="28"/>
          <w:szCs w:val="28"/>
        </w:rPr>
      </w:pPr>
      <w:r w:rsidRPr="00343A7D">
        <w:rPr>
          <w:rFonts w:ascii="Times New Roman" w:hAnsi="Times New Roman" w:cs="Times New Roman"/>
          <w:b/>
          <w:sz w:val="28"/>
          <w:szCs w:val="28"/>
        </w:rPr>
        <w:t>3.5. Показатели свободнорадикального окисления и активности антиоксидантной системы в конденсате выдыхаемого воздуха.</w:t>
      </w:r>
    </w:p>
    <w:p w:rsidR="00E75DE8" w:rsidRPr="00E75DE8" w:rsidRDefault="00E75DE8" w:rsidP="00343A7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Результаты оценки активности свободнорадикального окисления в конденсате выдыхаемого воздуха  у обследуемых представлены в таблице 3.5.1.  </w:t>
      </w:r>
    </w:p>
    <w:p w:rsid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Таблица 3.5.1 ‒ Пок</w:t>
      </w:r>
      <w:r w:rsidR="001301DD">
        <w:rPr>
          <w:rFonts w:ascii="Times New Roman" w:hAnsi="Times New Roman" w:cs="Times New Roman"/>
          <w:sz w:val="28"/>
          <w:szCs w:val="28"/>
        </w:rPr>
        <w:t>азатели перекисного окисления</w:t>
      </w:r>
      <w:r w:rsidR="005B15EA">
        <w:rPr>
          <w:rFonts w:ascii="Times New Roman" w:hAnsi="Times New Roman" w:cs="Times New Roman"/>
          <w:sz w:val="28"/>
          <w:szCs w:val="28"/>
        </w:rPr>
        <w:t xml:space="preserve"> </w:t>
      </w:r>
      <w:r w:rsidRPr="00E75DE8">
        <w:rPr>
          <w:rFonts w:ascii="Times New Roman" w:hAnsi="Times New Roman" w:cs="Times New Roman"/>
          <w:sz w:val="28"/>
          <w:szCs w:val="28"/>
        </w:rPr>
        <w:t xml:space="preserve">в конденсате выдыхаемого воздуха  у обследуемых жителей </w:t>
      </w:r>
      <w:r w:rsidR="004773FF">
        <w:rPr>
          <w:rFonts w:ascii="Times New Roman" w:hAnsi="Times New Roman" w:cs="Times New Roman"/>
          <w:sz w:val="28"/>
          <w:szCs w:val="28"/>
        </w:rPr>
        <w:t xml:space="preserve"> г.Ош, села Папан и села </w:t>
      </w:r>
      <w:r w:rsidR="00143E10">
        <w:rPr>
          <w:rFonts w:ascii="Times New Roman" w:hAnsi="Times New Roman" w:cs="Times New Roman"/>
          <w:sz w:val="28"/>
          <w:szCs w:val="28"/>
        </w:rPr>
        <w:t>Гулбаар</w:t>
      </w:r>
      <w:r w:rsidR="004773FF">
        <w:rPr>
          <w:rFonts w:ascii="Times New Roman" w:hAnsi="Times New Roman" w:cs="Times New Roman"/>
          <w:sz w:val="28"/>
          <w:szCs w:val="28"/>
        </w:rPr>
        <w:t xml:space="preserve">. </w:t>
      </w:r>
    </w:p>
    <w:p w:rsidR="00343A7D" w:rsidRPr="00EB2A10" w:rsidRDefault="00343A7D" w:rsidP="00E75DE8">
      <w:pPr>
        <w:spacing w:after="0" w:line="240" w:lineRule="auto"/>
        <w:jc w:val="both"/>
        <w:rPr>
          <w:rFonts w:ascii="Times New Roman" w:hAnsi="Times New Roman" w:cs="Times New Roman"/>
          <w:sz w:val="18"/>
          <w:szCs w:val="28"/>
        </w:rPr>
      </w:pPr>
    </w:p>
    <w:tbl>
      <w:tblPr>
        <w:tblStyle w:val="a3"/>
        <w:tblW w:w="10915" w:type="dxa"/>
        <w:tblInd w:w="-459" w:type="dxa"/>
        <w:tblLook w:val="04A0" w:firstRow="1" w:lastRow="0" w:firstColumn="1" w:lastColumn="0" w:noHBand="0" w:noVBand="1"/>
      </w:tblPr>
      <w:tblGrid>
        <w:gridCol w:w="3471"/>
        <w:gridCol w:w="2494"/>
        <w:gridCol w:w="2161"/>
        <w:gridCol w:w="2789"/>
      </w:tblGrid>
      <w:tr w:rsidR="00343A7D" w:rsidTr="001301DD">
        <w:tc>
          <w:tcPr>
            <w:tcW w:w="3471" w:type="dxa"/>
          </w:tcPr>
          <w:p w:rsidR="00343A7D" w:rsidRPr="00343A7D" w:rsidRDefault="00343A7D" w:rsidP="00343A7D">
            <w:pPr>
              <w:keepNext/>
              <w:widowControl w:val="0"/>
              <w:jc w:val="center"/>
              <w:rPr>
                <w:rFonts w:ascii="Times New Roman" w:eastAsia="Times New Roman" w:hAnsi="Times New Roman" w:cs="Times New Roman"/>
                <w:bCs/>
                <w:i/>
                <w:color w:val="000000"/>
                <w:sz w:val="24"/>
                <w:szCs w:val="28"/>
                <w:u w:color="000000"/>
                <w:lang w:eastAsia="ru-RU"/>
              </w:rPr>
            </w:pPr>
            <w:r w:rsidRPr="00343A7D">
              <w:rPr>
                <w:rFonts w:ascii="Times New Roman" w:eastAsia="Arial Unicode MS" w:hAnsi="Times New Roman" w:cs="Times New Roman"/>
                <w:color w:val="000000"/>
                <w:sz w:val="28"/>
                <w:szCs w:val="28"/>
                <w:u w:color="000000"/>
                <w:lang w:eastAsia="ru-RU"/>
              </w:rPr>
              <w:t>Показатели</w:t>
            </w:r>
          </w:p>
        </w:tc>
        <w:tc>
          <w:tcPr>
            <w:tcW w:w="2494"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Группа 1</w:t>
            </w:r>
          </w:p>
          <w:p w:rsidR="00343A7D" w:rsidRPr="00343A7D" w:rsidRDefault="004773FF"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К</w:t>
            </w:r>
            <w:r w:rsidR="00343A7D" w:rsidRPr="00343A7D">
              <w:rPr>
                <w:rFonts w:ascii="Times New Roman" w:eastAsia="Arial Unicode MS" w:hAnsi="Times New Roman" w:cs="Times New Roman"/>
                <w:color w:val="000000"/>
                <w:sz w:val="28"/>
                <w:szCs w:val="28"/>
                <w:u w:color="000000"/>
                <w:lang w:eastAsia="ru-RU"/>
              </w:rPr>
              <w:t>онтроль</w:t>
            </w:r>
            <w:r>
              <w:rPr>
                <w:rFonts w:ascii="Times New Roman" w:eastAsia="Arial Unicode MS" w:hAnsi="Times New Roman" w:cs="Times New Roman"/>
                <w:color w:val="000000"/>
                <w:sz w:val="28"/>
                <w:szCs w:val="28"/>
                <w:u w:color="000000"/>
                <w:lang w:eastAsia="ru-RU"/>
              </w:rPr>
              <w:t>(с.Папан)</w:t>
            </w:r>
          </w:p>
          <w:p w:rsidR="00343A7D" w:rsidRPr="00343A7D" w:rsidRDefault="00343A7D" w:rsidP="00343A7D">
            <w:pPr>
              <w:keepNext/>
              <w:widowControl w:val="0"/>
              <w:jc w:val="center"/>
              <w:rPr>
                <w:rFonts w:ascii="Times New Roman" w:eastAsia="Times New Roman" w:hAnsi="Times New Roman" w:cs="Times New Roman"/>
                <w:bCs/>
                <w:i/>
                <w:color w:val="000000"/>
                <w:sz w:val="24"/>
                <w:szCs w:val="28"/>
                <w:u w:color="000000"/>
                <w:lang w:eastAsia="ru-RU"/>
              </w:rPr>
            </w:pPr>
            <w:r w:rsidRPr="00343A7D">
              <w:rPr>
                <w:rFonts w:ascii="Times New Roman" w:eastAsia="Arial Unicode MS" w:hAnsi="Times New Roman" w:cs="Times New Roman"/>
                <w:color w:val="000000"/>
                <w:sz w:val="28"/>
                <w:szCs w:val="28"/>
                <w:u w:color="000000"/>
                <w:lang w:eastAsia="ru-RU"/>
              </w:rPr>
              <w:t>(</w:t>
            </w:r>
            <w:r w:rsidRPr="00343A7D">
              <w:rPr>
                <w:rFonts w:ascii="Times New Roman" w:eastAsia="Arial Unicode MS" w:hAnsi="Times New Roman" w:cs="Times New Roman"/>
                <w:color w:val="000000"/>
                <w:sz w:val="28"/>
                <w:szCs w:val="28"/>
                <w:u w:color="000000"/>
                <w:lang w:val="en-US" w:eastAsia="ru-RU"/>
              </w:rPr>
              <w:t>n</w:t>
            </w:r>
            <w:r w:rsidRPr="004773FF">
              <w:rPr>
                <w:rFonts w:ascii="Times New Roman" w:eastAsia="Arial Unicode MS" w:hAnsi="Times New Roman" w:cs="Times New Roman"/>
                <w:color w:val="000000"/>
                <w:sz w:val="28"/>
                <w:szCs w:val="28"/>
                <w:u w:color="000000"/>
                <w:lang w:eastAsia="ru-RU"/>
              </w:rPr>
              <w:t>=</w:t>
            </w:r>
            <w:r w:rsidRPr="00343A7D">
              <w:rPr>
                <w:rFonts w:ascii="Times New Roman" w:eastAsia="Arial Unicode MS" w:hAnsi="Times New Roman" w:cs="Times New Roman"/>
                <w:color w:val="000000"/>
                <w:sz w:val="28"/>
                <w:szCs w:val="28"/>
                <w:u w:color="000000"/>
                <w:lang w:eastAsia="ru-RU"/>
              </w:rPr>
              <w:t>68</w:t>
            </w:r>
            <w:r w:rsidRPr="004773FF">
              <w:rPr>
                <w:rFonts w:ascii="Times New Roman" w:eastAsia="Arial Unicode MS" w:hAnsi="Times New Roman" w:cs="Times New Roman"/>
                <w:color w:val="000000"/>
                <w:sz w:val="28"/>
                <w:szCs w:val="28"/>
                <w:u w:color="000000"/>
                <w:lang w:eastAsia="ru-RU"/>
              </w:rPr>
              <w:t>)</w:t>
            </w:r>
          </w:p>
        </w:tc>
        <w:tc>
          <w:tcPr>
            <w:tcW w:w="216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Группа 2</w:t>
            </w:r>
          </w:p>
          <w:p w:rsidR="00343A7D" w:rsidRPr="00343A7D" w:rsidRDefault="004773FF" w:rsidP="004773FF">
            <w:pPr>
              <w:keepNext/>
              <w:widowControl w:val="0"/>
              <w:rPr>
                <w:rFonts w:ascii="Times New Roman" w:eastAsia="Arial Unicode MS" w:hAnsi="Times New Roman" w:cs="Times New Roman"/>
                <w:color w:val="000000"/>
                <w:sz w:val="28"/>
                <w:szCs w:val="28"/>
                <w:u w:color="000000"/>
                <w:lang w:eastAsia="ru-RU"/>
              </w:rPr>
            </w:pPr>
            <w:r>
              <w:rPr>
                <w:rFonts w:ascii="Times New Roman" w:eastAsia="Arial Unicode MS" w:hAnsi="Times New Roman" w:cs="Times New Roman"/>
                <w:color w:val="000000"/>
                <w:sz w:val="28"/>
                <w:szCs w:val="28"/>
                <w:u w:color="000000"/>
                <w:lang w:eastAsia="ru-RU"/>
              </w:rPr>
              <w:t xml:space="preserve">       С.</w:t>
            </w:r>
            <w:r w:rsidR="00143E10">
              <w:rPr>
                <w:rFonts w:ascii="Times New Roman" w:eastAsia="Arial Unicode MS" w:hAnsi="Times New Roman" w:cs="Times New Roman"/>
                <w:color w:val="000000"/>
                <w:sz w:val="28"/>
                <w:szCs w:val="28"/>
                <w:u w:color="000000"/>
                <w:lang w:eastAsia="ru-RU"/>
              </w:rPr>
              <w:t>Гулбаар</w:t>
            </w:r>
            <w:r>
              <w:rPr>
                <w:rFonts w:ascii="Times New Roman" w:eastAsia="Arial Unicode MS" w:hAnsi="Times New Roman" w:cs="Times New Roman"/>
                <w:color w:val="000000"/>
                <w:sz w:val="28"/>
                <w:szCs w:val="28"/>
                <w:u w:color="000000"/>
                <w:lang w:eastAsia="ru-RU"/>
              </w:rPr>
              <w:t xml:space="preserve"> </w:t>
            </w:r>
          </w:p>
          <w:p w:rsidR="00343A7D" w:rsidRPr="00343A7D" w:rsidRDefault="00343A7D" w:rsidP="00343A7D">
            <w:pPr>
              <w:keepNext/>
              <w:widowControl w:val="0"/>
              <w:jc w:val="center"/>
              <w:rPr>
                <w:rFonts w:ascii="Times New Roman" w:eastAsia="Times New Roman" w:hAnsi="Times New Roman" w:cs="Times New Roman"/>
                <w:bCs/>
                <w:i/>
                <w:color w:val="000000"/>
                <w:sz w:val="24"/>
                <w:szCs w:val="28"/>
                <w:u w:color="000000"/>
                <w:lang w:eastAsia="ru-RU"/>
              </w:rPr>
            </w:pPr>
            <w:r w:rsidRPr="00343A7D">
              <w:rPr>
                <w:rFonts w:ascii="Times New Roman" w:eastAsia="Arial Unicode MS" w:hAnsi="Times New Roman" w:cs="Times New Roman"/>
                <w:color w:val="000000"/>
                <w:sz w:val="28"/>
                <w:szCs w:val="28"/>
                <w:u w:color="000000"/>
                <w:lang w:eastAsia="ru-RU"/>
              </w:rPr>
              <w:t>(</w:t>
            </w:r>
            <w:r w:rsidRPr="00343A7D">
              <w:rPr>
                <w:rFonts w:ascii="Times New Roman" w:eastAsia="Arial Unicode MS" w:hAnsi="Times New Roman" w:cs="Times New Roman"/>
                <w:color w:val="000000"/>
                <w:sz w:val="28"/>
                <w:szCs w:val="28"/>
                <w:u w:color="000000"/>
                <w:lang w:val="en-US" w:eastAsia="ru-RU"/>
              </w:rPr>
              <w:t>n=</w:t>
            </w:r>
            <w:r w:rsidRPr="00343A7D">
              <w:rPr>
                <w:rFonts w:ascii="Times New Roman" w:eastAsia="Arial Unicode MS" w:hAnsi="Times New Roman" w:cs="Times New Roman"/>
                <w:color w:val="000000"/>
                <w:sz w:val="28"/>
                <w:szCs w:val="28"/>
                <w:u w:color="000000"/>
                <w:lang w:eastAsia="ru-RU"/>
              </w:rPr>
              <w:t>74</w:t>
            </w:r>
            <w:r w:rsidRPr="00343A7D">
              <w:rPr>
                <w:rFonts w:ascii="Times New Roman" w:eastAsia="Arial Unicode MS" w:hAnsi="Times New Roman" w:cs="Times New Roman"/>
                <w:color w:val="000000"/>
                <w:sz w:val="28"/>
                <w:szCs w:val="28"/>
                <w:u w:color="000000"/>
                <w:lang w:val="en-US" w:eastAsia="ru-RU"/>
              </w:rPr>
              <w:t>)</w:t>
            </w:r>
          </w:p>
        </w:tc>
        <w:tc>
          <w:tcPr>
            <w:tcW w:w="2789"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Группа 3</w:t>
            </w:r>
          </w:p>
          <w:p w:rsidR="00343A7D" w:rsidRPr="00343A7D" w:rsidRDefault="004773FF" w:rsidP="00343A7D">
            <w:pPr>
              <w:keepNext/>
              <w:widowControl w:val="0"/>
              <w:jc w:val="center"/>
              <w:rPr>
                <w:rFonts w:ascii="Times New Roman" w:eastAsia="Arial Unicode MS" w:hAnsi="Times New Roman" w:cs="Times New Roman"/>
                <w:color w:val="000000"/>
                <w:sz w:val="28"/>
                <w:szCs w:val="28"/>
                <w:u w:color="000000"/>
                <w:lang w:eastAsia="ru-RU"/>
              </w:rPr>
            </w:pPr>
            <w:r>
              <w:rPr>
                <w:rFonts w:ascii="Times New Roman" w:eastAsia="Arial Unicode MS" w:hAnsi="Times New Roman" w:cs="Times New Roman"/>
                <w:color w:val="000000"/>
                <w:sz w:val="28"/>
                <w:szCs w:val="28"/>
                <w:u w:color="000000"/>
                <w:lang w:eastAsia="ru-RU"/>
              </w:rPr>
              <w:t>Г.Ош</w:t>
            </w:r>
          </w:p>
          <w:p w:rsidR="00343A7D" w:rsidRPr="00343A7D" w:rsidRDefault="00343A7D" w:rsidP="00343A7D">
            <w:pPr>
              <w:keepNext/>
              <w:widowControl w:val="0"/>
              <w:jc w:val="center"/>
              <w:rPr>
                <w:rFonts w:ascii="Times New Roman" w:eastAsia="Times New Roman" w:hAnsi="Times New Roman" w:cs="Times New Roman"/>
                <w:bCs/>
                <w:i/>
                <w:color w:val="000000"/>
                <w:sz w:val="24"/>
                <w:szCs w:val="28"/>
                <w:u w:color="000000"/>
                <w:lang w:eastAsia="ru-RU"/>
              </w:rPr>
            </w:pPr>
            <w:r w:rsidRPr="00343A7D">
              <w:rPr>
                <w:rFonts w:ascii="Times New Roman" w:eastAsia="Arial Unicode MS" w:hAnsi="Times New Roman" w:cs="Times New Roman"/>
                <w:color w:val="000000"/>
                <w:sz w:val="28"/>
                <w:szCs w:val="28"/>
                <w:u w:color="000000"/>
                <w:lang w:eastAsia="ru-RU"/>
              </w:rPr>
              <w:t>(</w:t>
            </w:r>
            <w:r w:rsidRPr="00343A7D">
              <w:rPr>
                <w:rFonts w:ascii="Times New Roman" w:eastAsia="Arial Unicode MS" w:hAnsi="Times New Roman" w:cs="Times New Roman"/>
                <w:color w:val="000000"/>
                <w:sz w:val="28"/>
                <w:szCs w:val="28"/>
                <w:u w:color="000000"/>
                <w:lang w:val="en-US" w:eastAsia="ru-RU"/>
              </w:rPr>
              <w:t>n=</w:t>
            </w:r>
            <w:r w:rsidRPr="00343A7D">
              <w:rPr>
                <w:rFonts w:ascii="Times New Roman" w:eastAsia="Arial Unicode MS" w:hAnsi="Times New Roman" w:cs="Times New Roman"/>
                <w:color w:val="000000"/>
                <w:sz w:val="28"/>
                <w:szCs w:val="28"/>
                <w:u w:color="000000"/>
                <w:lang w:eastAsia="ru-RU"/>
              </w:rPr>
              <w:t>70</w:t>
            </w:r>
            <w:r w:rsidRPr="00343A7D">
              <w:rPr>
                <w:rFonts w:ascii="Times New Roman" w:eastAsia="Arial Unicode MS" w:hAnsi="Times New Roman" w:cs="Times New Roman"/>
                <w:color w:val="000000"/>
                <w:sz w:val="28"/>
                <w:szCs w:val="28"/>
                <w:u w:color="000000"/>
                <w:lang w:val="en-US" w:eastAsia="ru-RU"/>
              </w:rPr>
              <w:t>)</w:t>
            </w:r>
          </w:p>
        </w:tc>
      </w:tr>
      <w:tr w:rsidR="00343A7D" w:rsidTr="001301DD">
        <w:tc>
          <w:tcPr>
            <w:tcW w:w="3471" w:type="dxa"/>
          </w:tcPr>
          <w:p w:rsidR="00343A7D" w:rsidRPr="00343A7D" w:rsidRDefault="00343A7D" w:rsidP="00343A7D">
            <w:pPr>
              <w:keepNext/>
              <w:widowControl w:val="0"/>
              <w:jc w:val="center"/>
              <w:rPr>
                <w:rFonts w:ascii="Times New Roman" w:hAnsi="Times New Roman" w:cs="Times New Roman"/>
                <w:color w:val="000000"/>
                <w:sz w:val="28"/>
                <w:szCs w:val="28"/>
                <w:lang w:eastAsia="ru-RU"/>
              </w:rPr>
            </w:pPr>
            <w:r w:rsidRPr="00343A7D">
              <w:rPr>
                <w:rFonts w:ascii="Times New Roman" w:eastAsia="Arial Unicode MS" w:hAnsi="Times New Roman" w:cs="Times New Roman"/>
                <w:color w:val="000000"/>
                <w:sz w:val="28"/>
                <w:szCs w:val="28"/>
                <w:u w:color="000000"/>
                <w:lang w:eastAsia="ru-RU"/>
              </w:rPr>
              <w:t>Суммарные липиды, мг</w:t>
            </w:r>
            <w:r w:rsidRPr="00343A7D">
              <w:rPr>
                <w:rFonts w:ascii="Times New Roman" w:eastAsia="Arial Unicode MS" w:hAnsi="Times New Roman" w:cs="Times New Roman"/>
                <w:color w:val="000000"/>
                <w:sz w:val="28"/>
                <w:szCs w:val="28"/>
                <w:u w:color="000000"/>
                <w:lang w:val="en-US" w:eastAsia="ru-RU"/>
              </w:rPr>
              <w:t>/</w:t>
            </w:r>
            <w:r w:rsidRPr="00343A7D">
              <w:rPr>
                <w:rFonts w:ascii="Times New Roman" w:eastAsia="Arial Unicode MS" w:hAnsi="Times New Roman" w:cs="Times New Roman"/>
                <w:color w:val="000000"/>
                <w:sz w:val="28"/>
                <w:szCs w:val="28"/>
                <w:u w:color="000000"/>
                <w:lang w:eastAsia="ru-RU"/>
              </w:rPr>
              <w:t>л</w:t>
            </w:r>
          </w:p>
        </w:tc>
        <w:tc>
          <w:tcPr>
            <w:tcW w:w="2494"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0,10</w:t>
            </w:r>
            <w:r w:rsidRPr="00343A7D">
              <w:rPr>
                <w:rFonts w:ascii="Times New Roman" w:eastAsia="Arial Unicode MS" w:hAnsi="Times New Roman" w:cs="Times New Roman"/>
                <w:color w:val="000000"/>
                <w:sz w:val="28"/>
                <w:szCs w:val="28"/>
                <w:u w:color="000000"/>
                <w:lang w:eastAsia="ru-RU"/>
              </w:rPr>
              <w:t>5±</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4</w:t>
            </w:r>
          </w:p>
        </w:tc>
        <w:tc>
          <w:tcPr>
            <w:tcW w:w="216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0,09</w:t>
            </w:r>
            <w:r w:rsidRPr="00343A7D">
              <w:rPr>
                <w:rFonts w:ascii="Times New Roman" w:eastAsia="Arial Unicode MS" w:hAnsi="Times New Roman" w:cs="Times New Roman"/>
                <w:color w:val="000000"/>
                <w:sz w:val="28"/>
                <w:szCs w:val="28"/>
                <w:u w:color="000000"/>
                <w:lang w:eastAsia="ru-RU"/>
              </w:rPr>
              <w:t>1±</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7</w:t>
            </w:r>
          </w:p>
        </w:tc>
        <w:tc>
          <w:tcPr>
            <w:tcW w:w="2789"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89±</w:t>
            </w: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12</w:t>
            </w:r>
          </w:p>
        </w:tc>
      </w:tr>
      <w:tr w:rsidR="00343A7D" w:rsidTr="001301DD">
        <w:tc>
          <w:tcPr>
            <w:tcW w:w="3471" w:type="dxa"/>
          </w:tcPr>
          <w:p w:rsidR="00343A7D" w:rsidRPr="00343A7D" w:rsidRDefault="00343A7D" w:rsidP="00343A7D">
            <w:pPr>
              <w:keepNext/>
              <w:widowControl w:val="0"/>
              <w:jc w:val="center"/>
              <w:rPr>
                <w:rFonts w:ascii="Times New Roman" w:hAnsi="Times New Roman" w:cs="Times New Roman"/>
                <w:color w:val="000000"/>
                <w:sz w:val="28"/>
                <w:szCs w:val="28"/>
                <w:lang w:eastAsia="ru-RU"/>
              </w:rPr>
            </w:pPr>
            <w:r w:rsidRPr="00343A7D">
              <w:rPr>
                <w:rFonts w:ascii="Times New Roman" w:eastAsia="Arial Unicode MS" w:hAnsi="Times New Roman" w:cs="Times New Roman"/>
                <w:color w:val="000000"/>
                <w:sz w:val="28"/>
                <w:szCs w:val="28"/>
                <w:u w:color="000000"/>
                <w:lang w:eastAsia="ru-RU"/>
              </w:rPr>
              <w:t>Гидроперекиси, мг</w:t>
            </w:r>
            <w:r w:rsidRPr="00343A7D">
              <w:rPr>
                <w:rFonts w:ascii="Times New Roman" w:eastAsia="Arial Unicode MS" w:hAnsi="Times New Roman" w:cs="Times New Roman"/>
                <w:color w:val="000000"/>
                <w:sz w:val="28"/>
                <w:szCs w:val="28"/>
                <w:u w:color="000000"/>
                <w:lang w:val="en-US" w:eastAsia="ru-RU"/>
              </w:rPr>
              <w:t>/</w:t>
            </w:r>
            <w:r w:rsidRPr="00343A7D">
              <w:rPr>
                <w:rFonts w:ascii="Times New Roman" w:eastAsia="Arial Unicode MS" w:hAnsi="Times New Roman" w:cs="Times New Roman"/>
                <w:color w:val="000000"/>
                <w:sz w:val="28"/>
                <w:szCs w:val="28"/>
                <w:u w:color="000000"/>
                <w:lang w:eastAsia="ru-RU"/>
              </w:rPr>
              <w:t>л</w:t>
            </w:r>
          </w:p>
        </w:tc>
        <w:tc>
          <w:tcPr>
            <w:tcW w:w="2494"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0,05</w:t>
            </w:r>
            <w:r w:rsidRPr="00343A7D">
              <w:rPr>
                <w:rFonts w:ascii="Times New Roman" w:eastAsia="Arial Unicode MS" w:hAnsi="Times New Roman" w:cs="Times New Roman"/>
                <w:color w:val="000000"/>
                <w:sz w:val="28"/>
                <w:szCs w:val="28"/>
                <w:u w:color="000000"/>
                <w:lang w:eastAsia="ru-RU"/>
              </w:rPr>
              <w:t>2±</w:t>
            </w: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1</w:t>
            </w:r>
            <w:r w:rsidRPr="00343A7D">
              <w:rPr>
                <w:rFonts w:ascii="Times New Roman" w:eastAsia="Arial Unicode MS" w:hAnsi="Times New Roman" w:cs="Times New Roman"/>
                <w:color w:val="000000"/>
                <w:sz w:val="28"/>
                <w:szCs w:val="28"/>
                <w:u w:color="000000"/>
                <w:lang w:val="en-US" w:eastAsia="ru-RU"/>
              </w:rPr>
              <w:t>0</w:t>
            </w:r>
          </w:p>
        </w:tc>
        <w:tc>
          <w:tcPr>
            <w:tcW w:w="216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0</w:t>
            </w:r>
            <w:r w:rsidRPr="00343A7D">
              <w:rPr>
                <w:rFonts w:ascii="Times New Roman" w:eastAsia="Arial Unicode MS" w:hAnsi="Times New Roman" w:cs="Times New Roman"/>
                <w:color w:val="000000"/>
                <w:sz w:val="28"/>
                <w:szCs w:val="28"/>
                <w:u w:color="000000"/>
                <w:lang w:val="en-US" w:eastAsia="ru-RU"/>
              </w:rPr>
              <w:t>,</w:t>
            </w:r>
            <w:r w:rsidRPr="00343A7D">
              <w:rPr>
                <w:rFonts w:ascii="Times New Roman" w:eastAsia="Arial Unicode MS" w:hAnsi="Times New Roman" w:cs="Times New Roman"/>
                <w:color w:val="000000"/>
                <w:sz w:val="28"/>
                <w:szCs w:val="28"/>
                <w:u w:color="000000"/>
                <w:lang w:eastAsia="ru-RU"/>
              </w:rPr>
              <w:t>0</w:t>
            </w:r>
            <w:r w:rsidRPr="00343A7D">
              <w:rPr>
                <w:rFonts w:ascii="Times New Roman" w:eastAsia="Arial Unicode MS" w:hAnsi="Times New Roman" w:cs="Times New Roman"/>
                <w:color w:val="000000"/>
                <w:sz w:val="28"/>
                <w:szCs w:val="28"/>
                <w:u w:color="000000"/>
                <w:lang w:val="en-US" w:eastAsia="ru-RU"/>
              </w:rPr>
              <w:t>7</w:t>
            </w:r>
            <w:r w:rsidRPr="00343A7D">
              <w:rPr>
                <w:rFonts w:ascii="Times New Roman" w:eastAsia="Arial Unicode MS" w:hAnsi="Times New Roman" w:cs="Times New Roman"/>
                <w:color w:val="000000"/>
                <w:sz w:val="28"/>
                <w:szCs w:val="28"/>
                <w:u w:color="000000"/>
                <w:lang w:eastAsia="ru-RU"/>
              </w:rPr>
              <w:t>4±</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5*</w:t>
            </w:r>
          </w:p>
        </w:tc>
        <w:tc>
          <w:tcPr>
            <w:tcW w:w="2789"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0,07</w:t>
            </w:r>
            <w:r w:rsidRPr="00343A7D">
              <w:rPr>
                <w:rFonts w:ascii="Times New Roman" w:eastAsia="Arial Unicode MS" w:hAnsi="Times New Roman" w:cs="Times New Roman"/>
                <w:color w:val="000000"/>
                <w:sz w:val="28"/>
                <w:szCs w:val="28"/>
                <w:u w:color="000000"/>
                <w:lang w:eastAsia="ru-RU"/>
              </w:rPr>
              <w:t>6±</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3*</w:t>
            </w:r>
          </w:p>
        </w:tc>
      </w:tr>
      <w:tr w:rsidR="00343A7D" w:rsidTr="001301DD">
        <w:tc>
          <w:tcPr>
            <w:tcW w:w="347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eastAsia="ru-RU"/>
              </w:rPr>
            </w:pPr>
            <w:r w:rsidRPr="00343A7D">
              <w:rPr>
                <w:rFonts w:ascii="Times New Roman" w:eastAsia="Arial Unicode MS" w:hAnsi="Times New Roman" w:cs="Times New Roman"/>
                <w:color w:val="000000"/>
                <w:sz w:val="28"/>
                <w:szCs w:val="28"/>
                <w:u w:color="000000"/>
                <w:lang w:eastAsia="ru-RU"/>
              </w:rPr>
              <w:t>Диеновые коньюгаты, мг</w:t>
            </w:r>
            <w:r w:rsidRPr="00343A7D">
              <w:rPr>
                <w:rFonts w:ascii="Times New Roman" w:eastAsia="Arial Unicode MS" w:hAnsi="Times New Roman" w:cs="Times New Roman"/>
                <w:color w:val="000000"/>
                <w:sz w:val="28"/>
                <w:szCs w:val="28"/>
                <w:u w:color="000000"/>
                <w:lang w:val="en-US" w:eastAsia="ru-RU"/>
              </w:rPr>
              <w:t>/</w:t>
            </w:r>
            <w:r w:rsidRPr="00343A7D">
              <w:rPr>
                <w:rFonts w:ascii="Times New Roman" w:eastAsia="Arial Unicode MS" w:hAnsi="Times New Roman" w:cs="Times New Roman"/>
                <w:color w:val="000000"/>
                <w:sz w:val="28"/>
                <w:szCs w:val="28"/>
                <w:u w:color="000000"/>
                <w:lang w:eastAsia="ru-RU"/>
              </w:rPr>
              <w:t>л</w:t>
            </w:r>
          </w:p>
        </w:tc>
        <w:tc>
          <w:tcPr>
            <w:tcW w:w="2494"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16±</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4</w:t>
            </w:r>
          </w:p>
        </w:tc>
        <w:tc>
          <w:tcPr>
            <w:tcW w:w="216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32±</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9</w:t>
            </w:r>
            <w:r w:rsidRPr="00343A7D">
              <w:rPr>
                <w:rFonts w:ascii="Times New Roman" w:eastAsia="Arial Unicode MS" w:hAnsi="Times New Roman" w:cs="Times New Roman"/>
                <w:color w:val="000000"/>
                <w:sz w:val="28"/>
                <w:szCs w:val="28"/>
                <w:u w:color="000000"/>
                <w:lang w:val="en-US" w:eastAsia="ru-RU"/>
              </w:rPr>
              <w:t>*</w:t>
            </w:r>
          </w:p>
        </w:tc>
        <w:tc>
          <w:tcPr>
            <w:tcW w:w="2789"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0,02</w:t>
            </w:r>
            <w:r w:rsidRPr="00343A7D">
              <w:rPr>
                <w:rFonts w:ascii="Times New Roman" w:eastAsia="Arial Unicode MS" w:hAnsi="Times New Roman" w:cs="Times New Roman"/>
                <w:color w:val="000000"/>
                <w:sz w:val="28"/>
                <w:szCs w:val="28"/>
                <w:u w:color="000000"/>
                <w:lang w:eastAsia="ru-RU"/>
              </w:rPr>
              <w:t>7±</w:t>
            </w:r>
            <w:r w:rsidRPr="00343A7D">
              <w:rPr>
                <w:rFonts w:ascii="Times New Roman" w:eastAsia="Arial Unicode MS" w:hAnsi="Times New Roman" w:cs="Times New Roman"/>
                <w:color w:val="000000"/>
                <w:sz w:val="28"/>
                <w:szCs w:val="28"/>
                <w:u w:color="000000"/>
                <w:lang w:val="en-US" w:eastAsia="ru-RU"/>
              </w:rPr>
              <w:t>0,00</w:t>
            </w:r>
            <w:r w:rsidRPr="00343A7D">
              <w:rPr>
                <w:rFonts w:ascii="Times New Roman" w:eastAsia="Arial Unicode MS" w:hAnsi="Times New Roman" w:cs="Times New Roman"/>
                <w:color w:val="000000"/>
                <w:sz w:val="28"/>
                <w:szCs w:val="28"/>
                <w:u w:color="000000"/>
                <w:lang w:eastAsia="ru-RU"/>
              </w:rPr>
              <w:t>5*</w:t>
            </w:r>
          </w:p>
        </w:tc>
      </w:tr>
      <w:tr w:rsidR="00343A7D" w:rsidTr="001301DD">
        <w:tc>
          <w:tcPr>
            <w:tcW w:w="3471" w:type="dxa"/>
          </w:tcPr>
          <w:p w:rsidR="00343A7D" w:rsidRPr="00343A7D" w:rsidRDefault="00343A7D" w:rsidP="00343A7D">
            <w:pPr>
              <w:keepNext/>
              <w:widowControl w:val="0"/>
              <w:jc w:val="center"/>
              <w:rPr>
                <w:rFonts w:ascii="Times New Roman" w:hAnsi="Times New Roman" w:cs="Times New Roman"/>
                <w:color w:val="000000"/>
                <w:sz w:val="28"/>
                <w:szCs w:val="28"/>
                <w:lang w:eastAsia="ru-RU"/>
              </w:rPr>
            </w:pPr>
            <w:r w:rsidRPr="00343A7D">
              <w:rPr>
                <w:rFonts w:ascii="Times New Roman" w:eastAsia="Arial Unicode MS" w:hAnsi="Times New Roman" w:cs="Times New Roman"/>
                <w:color w:val="000000"/>
                <w:sz w:val="28"/>
                <w:szCs w:val="28"/>
                <w:u w:color="000000"/>
                <w:lang w:eastAsia="ru-RU"/>
              </w:rPr>
              <w:t>Окислительный индекс</w:t>
            </w:r>
          </w:p>
        </w:tc>
        <w:tc>
          <w:tcPr>
            <w:tcW w:w="2494"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0,48</w:t>
            </w:r>
            <w:r w:rsidRPr="00343A7D">
              <w:rPr>
                <w:rFonts w:ascii="Times New Roman" w:eastAsia="Arial Unicode MS" w:hAnsi="Times New Roman" w:cs="Times New Roman"/>
                <w:color w:val="000000"/>
                <w:sz w:val="28"/>
                <w:szCs w:val="28"/>
                <w:u w:color="000000"/>
                <w:lang w:eastAsia="ru-RU"/>
              </w:rPr>
              <w:t>0±</w:t>
            </w: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2</w:t>
            </w:r>
            <w:r w:rsidRPr="00343A7D">
              <w:rPr>
                <w:rFonts w:ascii="Times New Roman" w:eastAsia="Arial Unicode MS" w:hAnsi="Times New Roman" w:cs="Times New Roman"/>
                <w:color w:val="000000"/>
                <w:sz w:val="28"/>
                <w:szCs w:val="28"/>
                <w:u w:color="000000"/>
                <w:lang w:val="en-US" w:eastAsia="ru-RU"/>
              </w:rPr>
              <w:t>1</w:t>
            </w:r>
          </w:p>
        </w:tc>
        <w:tc>
          <w:tcPr>
            <w:tcW w:w="2161"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w:t>
            </w:r>
            <w:r w:rsidRPr="00343A7D">
              <w:rPr>
                <w:rFonts w:ascii="Times New Roman" w:eastAsia="Arial Unicode MS" w:hAnsi="Times New Roman" w:cs="Times New Roman"/>
                <w:color w:val="000000"/>
                <w:sz w:val="28"/>
                <w:szCs w:val="28"/>
                <w:u w:color="000000"/>
                <w:lang w:eastAsia="ru-RU"/>
              </w:rPr>
              <w:t>5</w:t>
            </w:r>
            <w:r w:rsidRPr="00343A7D">
              <w:rPr>
                <w:rFonts w:ascii="Times New Roman" w:eastAsia="Arial Unicode MS" w:hAnsi="Times New Roman" w:cs="Times New Roman"/>
                <w:color w:val="000000"/>
                <w:sz w:val="28"/>
                <w:szCs w:val="28"/>
                <w:u w:color="000000"/>
                <w:lang w:val="en-US" w:eastAsia="ru-RU"/>
              </w:rPr>
              <w:t>7</w:t>
            </w:r>
            <w:r w:rsidRPr="00343A7D">
              <w:rPr>
                <w:rFonts w:ascii="Times New Roman" w:eastAsia="Arial Unicode MS" w:hAnsi="Times New Roman" w:cs="Times New Roman"/>
                <w:color w:val="000000"/>
                <w:sz w:val="28"/>
                <w:szCs w:val="28"/>
                <w:u w:color="000000"/>
                <w:lang w:eastAsia="ru-RU"/>
              </w:rPr>
              <w:t>2±</w:t>
            </w: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39*</w:t>
            </w:r>
          </w:p>
        </w:tc>
        <w:tc>
          <w:tcPr>
            <w:tcW w:w="2789" w:type="dxa"/>
          </w:tcPr>
          <w:p w:rsidR="00343A7D" w:rsidRPr="00343A7D" w:rsidRDefault="00343A7D" w:rsidP="00343A7D">
            <w:pPr>
              <w:keepNext/>
              <w:widowControl w:val="0"/>
              <w:jc w:val="center"/>
              <w:rPr>
                <w:rFonts w:ascii="Times New Roman" w:eastAsia="Arial Unicode MS" w:hAnsi="Times New Roman" w:cs="Times New Roman"/>
                <w:color w:val="000000"/>
                <w:sz w:val="28"/>
                <w:szCs w:val="28"/>
                <w:u w:color="000000"/>
                <w:lang w:val="en-US" w:eastAsia="ru-RU"/>
              </w:rPr>
            </w:pPr>
            <w:r w:rsidRPr="00343A7D">
              <w:rPr>
                <w:rFonts w:ascii="Times New Roman" w:eastAsia="Arial Unicode MS" w:hAnsi="Times New Roman" w:cs="Times New Roman"/>
                <w:color w:val="000000"/>
                <w:sz w:val="28"/>
                <w:szCs w:val="28"/>
                <w:u w:color="000000"/>
                <w:lang w:val="en-US" w:eastAsia="ru-RU"/>
              </w:rPr>
              <w:t>0,</w:t>
            </w:r>
            <w:r w:rsidRPr="00343A7D">
              <w:rPr>
                <w:rFonts w:ascii="Times New Roman" w:eastAsia="Arial Unicode MS" w:hAnsi="Times New Roman" w:cs="Times New Roman"/>
                <w:color w:val="000000"/>
                <w:sz w:val="28"/>
                <w:szCs w:val="28"/>
                <w:u w:color="000000"/>
                <w:lang w:eastAsia="ru-RU"/>
              </w:rPr>
              <w:t>6</w:t>
            </w:r>
            <w:r w:rsidRPr="00343A7D">
              <w:rPr>
                <w:rFonts w:ascii="Times New Roman" w:eastAsia="Arial Unicode MS" w:hAnsi="Times New Roman" w:cs="Times New Roman"/>
                <w:color w:val="000000"/>
                <w:sz w:val="28"/>
                <w:szCs w:val="28"/>
                <w:u w:color="000000"/>
                <w:lang w:val="en-US" w:eastAsia="ru-RU"/>
              </w:rPr>
              <w:t>8</w:t>
            </w:r>
            <w:r w:rsidRPr="00343A7D">
              <w:rPr>
                <w:rFonts w:ascii="Times New Roman" w:eastAsia="Arial Unicode MS" w:hAnsi="Times New Roman" w:cs="Times New Roman"/>
                <w:color w:val="000000"/>
                <w:sz w:val="28"/>
                <w:szCs w:val="28"/>
                <w:u w:color="000000"/>
                <w:lang w:eastAsia="ru-RU"/>
              </w:rPr>
              <w:t>4±</w:t>
            </w:r>
            <w:r w:rsidRPr="00343A7D">
              <w:rPr>
                <w:rFonts w:ascii="Times New Roman" w:eastAsia="Arial Unicode MS" w:hAnsi="Times New Roman" w:cs="Times New Roman"/>
                <w:color w:val="000000"/>
                <w:sz w:val="28"/>
                <w:szCs w:val="28"/>
                <w:u w:color="000000"/>
                <w:lang w:val="en-US" w:eastAsia="ru-RU"/>
              </w:rPr>
              <w:t>0,0</w:t>
            </w:r>
            <w:r w:rsidRPr="00343A7D">
              <w:rPr>
                <w:rFonts w:ascii="Times New Roman" w:eastAsia="Arial Unicode MS" w:hAnsi="Times New Roman" w:cs="Times New Roman"/>
                <w:color w:val="000000"/>
                <w:sz w:val="28"/>
                <w:szCs w:val="28"/>
                <w:u w:color="000000"/>
                <w:lang w:eastAsia="ru-RU"/>
              </w:rPr>
              <w:t>40*</w:t>
            </w:r>
            <w:r w:rsidRPr="00343A7D">
              <w:rPr>
                <w:rFonts w:ascii="Times New Roman" w:eastAsia="Arial Unicode MS" w:hAnsi="Times New Roman" w:cs="Times New Roman"/>
                <w:color w:val="000000"/>
                <w:sz w:val="28"/>
                <w:szCs w:val="28"/>
                <w:u w:color="000000"/>
                <w:lang w:val="en-US" w:eastAsia="ru-RU"/>
              </w:rPr>
              <w:t>#</w:t>
            </w:r>
          </w:p>
        </w:tc>
      </w:tr>
    </w:tbl>
    <w:p w:rsidR="00E75DE8" w:rsidRDefault="00E75DE8" w:rsidP="001301DD">
      <w:pPr>
        <w:spacing w:after="0" w:line="240" w:lineRule="auto"/>
        <w:jc w:val="both"/>
        <w:rPr>
          <w:rFonts w:ascii="Times New Roman" w:hAnsi="Times New Roman" w:cs="Times New Roman"/>
          <w:i/>
          <w:sz w:val="24"/>
          <w:szCs w:val="28"/>
        </w:rPr>
      </w:pPr>
      <w:r w:rsidRPr="00343A7D">
        <w:rPr>
          <w:rFonts w:ascii="Times New Roman" w:hAnsi="Times New Roman" w:cs="Times New Roman"/>
          <w:i/>
          <w:sz w:val="24"/>
          <w:szCs w:val="28"/>
        </w:rPr>
        <w:t>Примечание: * - p&lt;0,05 по сравнен</w:t>
      </w:r>
      <w:r w:rsidR="001301DD">
        <w:rPr>
          <w:rFonts w:ascii="Times New Roman" w:hAnsi="Times New Roman" w:cs="Times New Roman"/>
          <w:i/>
          <w:sz w:val="24"/>
          <w:szCs w:val="28"/>
        </w:rPr>
        <w:t xml:space="preserve">ию с гр.1  (кр.Манна-Уитни);   </w:t>
      </w:r>
      <w:r w:rsidRPr="00343A7D">
        <w:rPr>
          <w:rFonts w:ascii="Times New Roman" w:hAnsi="Times New Roman" w:cs="Times New Roman"/>
          <w:i/>
          <w:sz w:val="24"/>
          <w:szCs w:val="28"/>
        </w:rPr>
        <w:t xml:space="preserve">   # - p&lt;0,05 по ср</w:t>
      </w:r>
      <w:r w:rsidR="00343A7D">
        <w:rPr>
          <w:rFonts w:ascii="Times New Roman" w:hAnsi="Times New Roman" w:cs="Times New Roman"/>
          <w:i/>
          <w:sz w:val="24"/>
          <w:szCs w:val="28"/>
        </w:rPr>
        <w:t>авнению с гр.2  (кр.Манна-Уитни).</w:t>
      </w:r>
    </w:p>
    <w:p w:rsidR="005B15EA" w:rsidRDefault="005B15EA" w:rsidP="001301DD">
      <w:pPr>
        <w:spacing w:after="0" w:line="240" w:lineRule="auto"/>
        <w:jc w:val="both"/>
        <w:rPr>
          <w:rFonts w:ascii="Times New Roman" w:hAnsi="Times New Roman" w:cs="Times New Roman"/>
          <w:i/>
          <w:sz w:val="24"/>
          <w:szCs w:val="28"/>
        </w:rPr>
      </w:pPr>
    </w:p>
    <w:p w:rsidR="005B15EA" w:rsidRPr="005B15EA" w:rsidRDefault="005B15EA" w:rsidP="001301DD">
      <w:pPr>
        <w:spacing w:after="0" w:line="240" w:lineRule="auto"/>
        <w:jc w:val="both"/>
        <w:rPr>
          <w:rFonts w:ascii="Times New Roman" w:hAnsi="Times New Roman" w:cs="Times New Roman"/>
          <w:sz w:val="28"/>
          <w:szCs w:val="28"/>
        </w:rPr>
      </w:pPr>
      <w:r w:rsidRPr="005B15EA">
        <w:rPr>
          <w:rFonts w:ascii="Times New Roman" w:hAnsi="Times New Roman" w:cs="Times New Roman"/>
          <w:sz w:val="28"/>
          <w:szCs w:val="28"/>
        </w:rPr>
        <w:t xml:space="preserve">У обследуемых, проживающих в условиях загрязнения атмосферного воздуха, наряду со снижением уровня  суммарных  липидов  в  КВВ, что может отражать изменения слизистой оболочки дыхательных путей вследствие изменения метаболизма или в структуре клеток дыхательных путей.  Увеличение уровней гидроперекисей, диеновых коньюгат и окислительного индекса, отражающие выраженность воспаления в дыхательных путях и состояние сурфактантной системы, что свидетельствует об активации окислительного стресса, при </w:t>
      </w:r>
      <w:r w:rsidRPr="005B15EA">
        <w:rPr>
          <w:rFonts w:ascii="Times New Roman" w:hAnsi="Times New Roman" w:cs="Times New Roman"/>
          <w:sz w:val="28"/>
          <w:szCs w:val="28"/>
        </w:rPr>
        <w:lastRenderedPageBreak/>
        <w:t>котором свободные радикалы повреждают клеточные мембраны, следовательно может усиливаться воспалительный ответ и повреждение тканей. Дальнейшее повышение данных показателей могут указывать на прогрессирование заболеваний.</w:t>
      </w:r>
    </w:p>
    <w:p w:rsidR="00E75DE8" w:rsidRPr="00E75DE8" w:rsidRDefault="00E75DE8" w:rsidP="00E75DE8">
      <w:pPr>
        <w:spacing w:after="0" w:line="240" w:lineRule="auto"/>
        <w:jc w:val="both"/>
        <w:rPr>
          <w:rFonts w:ascii="Times New Roman" w:hAnsi="Times New Roman" w:cs="Times New Roman"/>
          <w:sz w:val="28"/>
          <w:szCs w:val="28"/>
        </w:rPr>
      </w:pPr>
    </w:p>
    <w:p w:rsidR="001301DD" w:rsidRDefault="00E75DE8" w:rsidP="00CF15A3">
      <w:pPr>
        <w:spacing w:after="0" w:line="240" w:lineRule="auto"/>
        <w:ind w:firstLine="709"/>
        <w:jc w:val="both"/>
        <w:rPr>
          <w:rFonts w:ascii="Times New Roman" w:hAnsi="Times New Roman" w:cs="Times New Roman"/>
          <w:sz w:val="28"/>
          <w:szCs w:val="28"/>
        </w:rPr>
      </w:pPr>
      <w:r w:rsidRPr="00343A7D">
        <w:rPr>
          <w:rFonts w:ascii="Times New Roman" w:hAnsi="Times New Roman" w:cs="Times New Roman"/>
          <w:b/>
          <w:sz w:val="28"/>
          <w:szCs w:val="28"/>
        </w:rPr>
        <w:t xml:space="preserve">3.6. Показатели общего и биохимического анализа крови у обследуемых лиц. </w:t>
      </w:r>
      <w:r w:rsidRPr="00E75DE8">
        <w:rPr>
          <w:rFonts w:ascii="Times New Roman" w:hAnsi="Times New Roman" w:cs="Times New Roman"/>
          <w:sz w:val="28"/>
          <w:szCs w:val="28"/>
        </w:rPr>
        <w:t>Оценка показателей обще</w:t>
      </w:r>
      <w:r w:rsidR="001301DD">
        <w:rPr>
          <w:rFonts w:ascii="Times New Roman" w:hAnsi="Times New Roman" w:cs="Times New Roman"/>
          <w:sz w:val="28"/>
          <w:szCs w:val="28"/>
        </w:rPr>
        <w:t xml:space="preserve">го анализа крови у обследуемы показан в </w:t>
      </w:r>
      <w:r w:rsidR="00CF15A3">
        <w:rPr>
          <w:rFonts w:ascii="Times New Roman" w:hAnsi="Times New Roman" w:cs="Times New Roman"/>
          <w:sz w:val="28"/>
          <w:szCs w:val="28"/>
        </w:rPr>
        <w:t>т</w:t>
      </w:r>
      <w:r w:rsidR="001301DD">
        <w:rPr>
          <w:rFonts w:ascii="Times New Roman" w:hAnsi="Times New Roman" w:cs="Times New Roman"/>
          <w:sz w:val="28"/>
          <w:szCs w:val="28"/>
        </w:rPr>
        <w:t>аб.3.6.1</w:t>
      </w:r>
    </w:p>
    <w:p w:rsidR="00E75DE8" w:rsidRDefault="00E75DE8" w:rsidP="00CF15A3">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Таблица 3.6.1 ‒ Показатели обще</w:t>
      </w:r>
      <w:r w:rsidR="001301DD">
        <w:rPr>
          <w:rFonts w:ascii="Times New Roman" w:hAnsi="Times New Roman" w:cs="Times New Roman"/>
          <w:sz w:val="28"/>
          <w:szCs w:val="28"/>
        </w:rPr>
        <w:t>го анализа крови у обследуемых</w:t>
      </w:r>
    </w:p>
    <w:p w:rsidR="00343A7D" w:rsidRPr="00343A7D" w:rsidRDefault="00343A7D" w:rsidP="00E75DE8">
      <w:pPr>
        <w:spacing w:after="0" w:line="240" w:lineRule="auto"/>
        <w:jc w:val="both"/>
        <w:rPr>
          <w:rFonts w:ascii="Times New Roman" w:hAnsi="Times New Roman" w:cs="Times New Roman"/>
          <w:sz w:val="16"/>
          <w:szCs w:val="28"/>
        </w:rPr>
      </w:pPr>
    </w:p>
    <w:tbl>
      <w:tblPr>
        <w:tblStyle w:val="a3"/>
        <w:tblW w:w="9923" w:type="dxa"/>
        <w:tblInd w:w="108" w:type="dxa"/>
        <w:tblLook w:val="04A0" w:firstRow="1" w:lastRow="0" w:firstColumn="1" w:lastColumn="0" w:noHBand="0" w:noVBand="1"/>
      </w:tblPr>
      <w:tblGrid>
        <w:gridCol w:w="2835"/>
        <w:gridCol w:w="2127"/>
        <w:gridCol w:w="2268"/>
        <w:gridCol w:w="2693"/>
      </w:tblGrid>
      <w:tr w:rsidR="00343A7D" w:rsidTr="001301DD">
        <w:tc>
          <w:tcPr>
            <w:tcW w:w="2835" w:type="dxa"/>
          </w:tcPr>
          <w:p w:rsidR="00343A7D" w:rsidRPr="00343A7D" w:rsidRDefault="00343A7D" w:rsidP="00EB2A10">
            <w:pPr>
              <w:keepNext/>
              <w:widowControl w:val="0"/>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 xml:space="preserve">Показатели </w:t>
            </w:r>
          </w:p>
        </w:tc>
        <w:tc>
          <w:tcPr>
            <w:tcW w:w="2127" w:type="dxa"/>
          </w:tcPr>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Группа 1</w:t>
            </w:r>
          </w:p>
          <w:p w:rsidR="00343A7D" w:rsidRPr="00343A7D" w:rsidRDefault="001301D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К</w:t>
            </w:r>
            <w:r w:rsidR="00343A7D" w:rsidRPr="00343A7D">
              <w:rPr>
                <w:rFonts w:ascii="Times New Roman" w:hAnsi="Times New Roman" w:cs="Times New Roman"/>
                <w:color w:val="000000" w:themeColor="text1"/>
                <w:sz w:val="28"/>
                <w:szCs w:val="24"/>
              </w:rPr>
              <w:t>онтроль</w:t>
            </w:r>
            <w:r>
              <w:rPr>
                <w:rFonts w:ascii="Times New Roman" w:hAnsi="Times New Roman" w:cs="Times New Roman"/>
                <w:color w:val="000000" w:themeColor="text1"/>
                <w:sz w:val="28"/>
                <w:szCs w:val="24"/>
              </w:rPr>
              <w:t>-с.Папан</w:t>
            </w:r>
          </w:p>
          <w:p w:rsidR="00343A7D" w:rsidRPr="001301D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n</w:t>
            </w:r>
            <w:r w:rsidRPr="001301D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rPr>
              <w:t>68</w:t>
            </w:r>
            <w:r w:rsidRPr="001301DD">
              <w:rPr>
                <w:rFonts w:ascii="Times New Roman" w:hAnsi="Times New Roman" w:cs="Times New Roman"/>
                <w:color w:val="000000" w:themeColor="text1"/>
                <w:sz w:val="28"/>
                <w:szCs w:val="24"/>
              </w:rPr>
              <w:t>)</w:t>
            </w:r>
          </w:p>
        </w:tc>
        <w:tc>
          <w:tcPr>
            <w:tcW w:w="2268" w:type="dxa"/>
          </w:tcPr>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Группа 2</w:t>
            </w:r>
          </w:p>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ЦЗ</w:t>
            </w:r>
            <w:r w:rsidR="001301DD">
              <w:rPr>
                <w:rFonts w:ascii="Times New Roman" w:hAnsi="Times New Roman" w:cs="Times New Roman"/>
                <w:color w:val="000000" w:themeColor="text1"/>
                <w:sz w:val="28"/>
                <w:szCs w:val="24"/>
              </w:rPr>
              <w:t xml:space="preserve"> –с.</w:t>
            </w:r>
            <w:r w:rsidR="00143E10">
              <w:rPr>
                <w:rFonts w:ascii="Times New Roman" w:hAnsi="Times New Roman" w:cs="Times New Roman"/>
                <w:color w:val="000000" w:themeColor="text1"/>
                <w:sz w:val="28"/>
                <w:szCs w:val="24"/>
              </w:rPr>
              <w:t>Гулбаар</w:t>
            </w:r>
          </w:p>
          <w:p w:rsidR="00343A7D" w:rsidRPr="001301D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n</w:t>
            </w:r>
            <w:r w:rsidRPr="001301D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rPr>
              <w:t>74</w:t>
            </w:r>
            <w:r w:rsidRPr="001301DD">
              <w:rPr>
                <w:rFonts w:ascii="Times New Roman" w:hAnsi="Times New Roman" w:cs="Times New Roman"/>
                <w:color w:val="000000" w:themeColor="text1"/>
                <w:sz w:val="28"/>
                <w:szCs w:val="24"/>
              </w:rPr>
              <w:t>)</w:t>
            </w:r>
          </w:p>
        </w:tc>
        <w:tc>
          <w:tcPr>
            <w:tcW w:w="2693" w:type="dxa"/>
          </w:tcPr>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Группа 3</w:t>
            </w:r>
          </w:p>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Тр</w:t>
            </w:r>
            <w:r w:rsidR="001301DD">
              <w:rPr>
                <w:rFonts w:ascii="Times New Roman" w:hAnsi="Times New Roman" w:cs="Times New Roman"/>
                <w:color w:val="000000" w:themeColor="text1"/>
                <w:sz w:val="28"/>
                <w:szCs w:val="24"/>
              </w:rPr>
              <w:t>-г.Ош</w:t>
            </w:r>
          </w:p>
          <w:p w:rsidR="00343A7D" w:rsidRPr="001301D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n</w:t>
            </w:r>
            <w:r w:rsidRPr="001301D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rPr>
              <w:t>70</w:t>
            </w:r>
            <w:r w:rsidRPr="001301DD">
              <w:rPr>
                <w:rFonts w:ascii="Times New Roman" w:hAnsi="Times New Roman" w:cs="Times New Roman"/>
                <w:color w:val="000000" w:themeColor="text1"/>
                <w:sz w:val="28"/>
                <w:szCs w:val="24"/>
              </w:rPr>
              <w:t>)</w:t>
            </w:r>
          </w:p>
        </w:tc>
      </w:tr>
      <w:tr w:rsidR="00343A7D" w:rsidTr="001301DD">
        <w:tc>
          <w:tcPr>
            <w:tcW w:w="2835" w:type="dxa"/>
            <w:vAlign w:val="center"/>
          </w:tcPr>
          <w:p w:rsidR="00343A7D" w:rsidRPr="00343A7D" w:rsidRDefault="00343A7D" w:rsidP="00EB2A10">
            <w:pPr>
              <w:keepNext/>
              <w:widowControl w:val="0"/>
              <w:rPr>
                <w:rFonts w:ascii="Times New Roman" w:hAnsi="Times New Roman" w:cs="Times New Roman"/>
                <w:color w:val="000000" w:themeColor="text1"/>
                <w:sz w:val="28"/>
              </w:rPr>
            </w:pPr>
            <w:r w:rsidRPr="00343A7D">
              <w:rPr>
                <w:rFonts w:ascii="Times New Roman" w:hAnsi="Times New Roman" w:cs="Times New Roman"/>
                <w:color w:val="000000" w:themeColor="text1"/>
                <w:sz w:val="28"/>
                <w:szCs w:val="24"/>
              </w:rPr>
              <w:t>Лейкоциты, *10</w:t>
            </w:r>
            <w:r w:rsidRPr="00343A7D">
              <w:rPr>
                <w:rFonts w:ascii="Times New Roman" w:hAnsi="Times New Roman" w:cs="Times New Roman"/>
                <w:color w:val="000000" w:themeColor="text1"/>
                <w:sz w:val="28"/>
                <w:szCs w:val="24"/>
                <w:vertAlign w:val="superscript"/>
              </w:rPr>
              <w:t>9</w:t>
            </w:r>
            <w:r w:rsidRPr="00343A7D">
              <w:rPr>
                <w:rFonts w:ascii="Times New Roman" w:hAnsi="Times New Roman" w:cs="Times New Roman"/>
                <w:color w:val="000000" w:themeColor="text1"/>
                <w:sz w:val="28"/>
                <w:szCs w:val="24"/>
              </w:rPr>
              <w:t>/л</w:t>
            </w:r>
          </w:p>
        </w:tc>
        <w:tc>
          <w:tcPr>
            <w:tcW w:w="2127" w:type="dxa"/>
            <w:vAlign w:val="center"/>
          </w:tcPr>
          <w:p w:rsidR="00343A7D" w:rsidRPr="00343A7D" w:rsidRDefault="00343A7D" w:rsidP="00EB2A10">
            <w:pPr>
              <w:keepNext/>
              <w:widowControl w:val="0"/>
              <w:kinsoku w:val="0"/>
              <w:contextualSpacing/>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4,</w:t>
            </w:r>
            <w:r w:rsidRPr="00343A7D">
              <w:rPr>
                <w:rFonts w:ascii="Times New Roman" w:hAnsi="Times New Roman" w:cs="Times New Roman"/>
                <w:color w:val="000000" w:themeColor="text1"/>
                <w:sz w:val="28"/>
                <w:szCs w:val="24"/>
                <w:lang w:val="en-US"/>
              </w:rPr>
              <w:t>87</w:t>
            </w:r>
            <w:r w:rsidRPr="00343A7D">
              <w:rPr>
                <w:rFonts w:ascii="Times New Roman" w:hAnsi="Times New Roman" w:cs="Times New Roman"/>
                <w:color w:val="000000" w:themeColor="text1"/>
                <w:sz w:val="28"/>
                <w:szCs w:val="24"/>
              </w:rPr>
              <w:t>±0</w:t>
            </w:r>
            <w:r w:rsidRPr="00343A7D">
              <w:rPr>
                <w:rFonts w:ascii="Times New Roman" w:hAnsi="Times New Roman" w:cs="Times New Roman"/>
                <w:color w:val="000000" w:themeColor="text1"/>
                <w:sz w:val="28"/>
                <w:szCs w:val="24"/>
                <w:lang w:val="en-US"/>
              </w:rPr>
              <w:t>,</w:t>
            </w:r>
            <w:r w:rsidRPr="00343A7D">
              <w:rPr>
                <w:rFonts w:ascii="Times New Roman" w:hAnsi="Times New Roman" w:cs="Times New Roman"/>
                <w:color w:val="000000" w:themeColor="text1"/>
                <w:sz w:val="28"/>
                <w:szCs w:val="24"/>
              </w:rPr>
              <w:t>89</w:t>
            </w:r>
          </w:p>
        </w:tc>
        <w:tc>
          <w:tcPr>
            <w:tcW w:w="2268" w:type="dxa"/>
            <w:vAlign w:val="center"/>
          </w:tcPr>
          <w:p w:rsidR="00343A7D" w:rsidRPr="00343A7D" w:rsidRDefault="00343A7D" w:rsidP="00EB2A10">
            <w:pPr>
              <w:keepNext/>
              <w:widowControl w:val="0"/>
              <w:kinsoku w:val="0"/>
              <w:contextualSpacing/>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5,17±0</w:t>
            </w:r>
            <w:r w:rsidRPr="00343A7D">
              <w:rPr>
                <w:rFonts w:ascii="Times New Roman" w:hAnsi="Times New Roman" w:cs="Times New Roman"/>
                <w:color w:val="000000" w:themeColor="text1"/>
                <w:sz w:val="28"/>
                <w:szCs w:val="24"/>
                <w:lang w:val="en-US"/>
              </w:rPr>
              <w:t>,</w:t>
            </w:r>
            <w:r w:rsidRPr="00343A7D">
              <w:rPr>
                <w:rFonts w:ascii="Times New Roman" w:hAnsi="Times New Roman" w:cs="Times New Roman"/>
                <w:color w:val="000000" w:themeColor="text1"/>
                <w:sz w:val="28"/>
                <w:szCs w:val="24"/>
              </w:rPr>
              <w:t>65</w:t>
            </w:r>
          </w:p>
        </w:tc>
        <w:tc>
          <w:tcPr>
            <w:tcW w:w="2693" w:type="dxa"/>
            <w:vAlign w:val="center"/>
          </w:tcPr>
          <w:p w:rsidR="00343A7D" w:rsidRPr="00343A7D" w:rsidRDefault="00343A7D" w:rsidP="00EB2A10">
            <w:pPr>
              <w:keepNext/>
              <w:widowControl w:val="0"/>
              <w:kinsoku w:val="0"/>
              <w:contextualSpacing/>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5,52±0</w:t>
            </w:r>
            <w:r w:rsidRPr="00343A7D">
              <w:rPr>
                <w:rFonts w:ascii="Times New Roman" w:hAnsi="Times New Roman" w:cs="Times New Roman"/>
                <w:color w:val="000000" w:themeColor="text1"/>
                <w:sz w:val="28"/>
                <w:szCs w:val="24"/>
                <w:lang w:val="en-US"/>
              </w:rPr>
              <w:t>,</w:t>
            </w:r>
            <w:r w:rsidRPr="00343A7D">
              <w:rPr>
                <w:rFonts w:ascii="Times New Roman" w:hAnsi="Times New Roman" w:cs="Times New Roman"/>
                <w:color w:val="000000" w:themeColor="text1"/>
                <w:sz w:val="28"/>
                <w:szCs w:val="24"/>
              </w:rPr>
              <w:t>4</w:t>
            </w:r>
            <w:r w:rsidRPr="00343A7D">
              <w:rPr>
                <w:rFonts w:ascii="Times New Roman" w:hAnsi="Times New Roman" w:cs="Times New Roman"/>
                <w:color w:val="000000" w:themeColor="text1"/>
                <w:sz w:val="28"/>
                <w:szCs w:val="24"/>
                <w:lang w:val="en-US"/>
              </w:rPr>
              <w:t>2</w:t>
            </w:r>
            <w:r w:rsidRPr="00343A7D">
              <w:rPr>
                <w:rFonts w:ascii="Times New Roman" w:hAnsi="Times New Roman" w:cs="Times New Roman"/>
                <w:color w:val="000000" w:themeColor="text1"/>
                <w:sz w:val="28"/>
                <w:szCs w:val="24"/>
              </w:rPr>
              <w:t xml:space="preserve"> </w:t>
            </w:r>
          </w:p>
        </w:tc>
      </w:tr>
      <w:tr w:rsidR="00343A7D" w:rsidTr="001301DD">
        <w:tc>
          <w:tcPr>
            <w:tcW w:w="2835" w:type="dxa"/>
            <w:vAlign w:val="center"/>
          </w:tcPr>
          <w:p w:rsidR="00343A7D" w:rsidRPr="00343A7D" w:rsidRDefault="00343A7D" w:rsidP="00EB2A10">
            <w:pPr>
              <w:keepNext/>
              <w:widowControl w:val="0"/>
              <w:rPr>
                <w:rFonts w:ascii="Times New Roman" w:hAnsi="Times New Roman" w:cs="Times New Roman"/>
                <w:color w:val="000000" w:themeColor="text1"/>
                <w:sz w:val="28"/>
              </w:rPr>
            </w:pPr>
            <w:r w:rsidRPr="00343A7D">
              <w:rPr>
                <w:rFonts w:ascii="Times New Roman" w:hAnsi="Times New Roman" w:cs="Times New Roman"/>
                <w:color w:val="000000" w:themeColor="text1"/>
                <w:sz w:val="28"/>
                <w:szCs w:val="24"/>
                <w:lang w:val="en-US"/>
              </w:rPr>
              <w:t>Лимфоциты</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 xml:space="preserve"> %</w:t>
            </w:r>
          </w:p>
        </w:tc>
        <w:tc>
          <w:tcPr>
            <w:tcW w:w="2127"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22,7±2,</w:t>
            </w:r>
            <w:r w:rsidRPr="00343A7D">
              <w:rPr>
                <w:rFonts w:ascii="Times New Roman" w:hAnsi="Times New Roman" w:cs="Times New Roman"/>
                <w:color w:val="000000" w:themeColor="text1"/>
                <w:sz w:val="28"/>
                <w:szCs w:val="24"/>
                <w:lang w:val="en-US"/>
              </w:rPr>
              <w:t>8</w:t>
            </w:r>
          </w:p>
        </w:tc>
        <w:tc>
          <w:tcPr>
            <w:tcW w:w="2268"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3</w:t>
            </w:r>
            <w:r w:rsidRPr="00343A7D">
              <w:rPr>
                <w:rFonts w:ascii="Times New Roman" w:hAnsi="Times New Roman" w:cs="Times New Roman"/>
                <w:color w:val="000000" w:themeColor="text1"/>
                <w:sz w:val="28"/>
                <w:szCs w:val="24"/>
                <w:lang w:val="en-US"/>
              </w:rPr>
              <w:t>7</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6</w:t>
            </w:r>
            <w:r w:rsidRPr="00343A7D">
              <w:rPr>
                <w:rFonts w:ascii="Times New Roman" w:hAnsi="Times New Roman" w:cs="Times New Roman"/>
                <w:color w:val="000000" w:themeColor="text1"/>
                <w:sz w:val="28"/>
                <w:szCs w:val="24"/>
              </w:rPr>
              <w:t>±5,</w:t>
            </w:r>
            <w:r w:rsidRPr="00343A7D">
              <w:rPr>
                <w:rFonts w:ascii="Times New Roman" w:hAnsi="Times New Roman" w:cs="Times New Roman"/>
                <w:color w:val="000000" w:themeColor="text1"/>
                <w:sz w:val="28"/>
                <w:szCs w:val="24"/>
                <w:lang w:val="en-US"/>
              </w:rPr>
              <w:t>2*</w:t>
            </w:r>
          </w:p>
        </w:tc>
        <w:tc>
          <w:tcPr>
            <w:tcW w:w="2693"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43,</w:t>
            </w:r>
            <w:r w:rsidRPr="00343A7D">
              <w:rPr>
                <w:rFonts w:ascii="Times New Roman" w:hAnsi="Times New Roman" w:cs="Times New Roman"/>
                <w:color w:val="000000" w:themeColor="text1"/>
                <w:sz w:val="28"/>
                <w:szCs w:val="24"/>
                <w:lang w:val="en-US"/>
              </w:rPr>
              <w:t>1</w:t>
            </w:r>
            <w:r w:rsidRPr="00343A7D">
              <w:rPr>
                <w:rFonts w:ascii="Times New Roman" w:hAnsi="Times New Roman" w:cs="Times New Roman"/>
                <w:color w:val="000000" w:themeColor="text1"/>
                <w:sz w:val="28"/>
                <w:szCs w:val="24"/>
              </w:rPr>
              <w:t>±6,7</w:t>
            </w:r>
            <w:r w:rsidRPr="00343A7D">
              <w:rPr>
                <w:rFonts w:ascii="Times New Roman" w:hAnsi="Times New Roman" w:cs="Times New Roman"/>
                <w:color w:val="000000" w:themeColor="text1"/>
                <w:sz w:val="28"/>
                <w:szCs w:val="24"/>
                <w:lang w:val="en-US"/>
              </w:rPr>
              <w:t>*</w:t>
            </w:r>
          </w:p>
        </w:tc>
      </w:tr>
      <w:tr w:rsidR="00343A7D" w:rsidTr="001301DD">
        <w:tc>
          <w:tcPr>
            <w:tcW w:w="2835" w:type="dxa"/>
            <w:vAlign w:val="center"/>
          </w:tcPr>
          <w:p w:rsidR="00343A7D" w:rsidRPr="00343A7D" w:rsidRDefault="00343A7D" w:rsidP="00EB2A10">
            <w:pPr>
              <w:keepNext/>
              <w:widowControl w:val="0"/>
              <w:rPr>
                <w:rFonts w:ascii="Times New Roman" w:hAnsi="Times New Roman" w:cs="Times New Roman"/>
                <w:color w:val="000000" w:themeColor="text1"/>
                <w:sz w:val="28"/>
              </w:rPr>
            </w:pPr>
            <w:r w:rsidRPr="00343A7D">
              <w:rPr>
                <w:rFonts w:ascii="Times New Roman" w:hAnsi="Times New Roman" w:cs="Times New Roman"/>
                <w:color w:val="000000" w:themeColor="text1"/>
                <w:sz w:val="28"/>
                <w:szCs w:val="24"/>
                <w:lang w:val="en-US"/>
              </w:rPr>
              <w:t>Эозинофилы</w:t>
            </w:r>
            <w:r w:rsidRPr="00343A7D">
              <w:rPr>
                <w:rFonts w:ascii="Times New Roman" w:hAnsi="Times New Roman" w:cs="Times New Roman"/>
                <w:color w:val="000000" w:themeColor="text1"/>
                <w:sz w:val="28"/>
                <w:szCs w:val="24"/>
              </w:rPr>
              <w:t xml:space="preserve">, </w:t>
            </w:r>
            <w:r w:rsidRPr="00343A7D">
              <w:rPr>
                <w:rFonts w:ascii="Times New Roman" w:hAnsi="Times New Roman" w:cs="Times New Roman"/>
                <w:color w:val="000000" w:themeColor="text1"/>
                <w:sz w:val="28"/>
                <w:szCs w:val="24"/>
                <w:lang w:val="en-US"/>
              </w:rPr>
              <w:t>%</w:t>
            </w:r>
          </w:p>
        </w:tc>
        <w:tc>
          <w:tcPr>
            <w:tcW w:w="2127"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2,3±0,6</w:t>
            </w:r>
          </w:p>
        </w:tc>
        <w:tc>
          <w:tcPr>
            <w:tcW w:w="2268"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rPr>
              <w:t>5,1±0,7*</w:t>
            </w:r>
          </w:p>
        </w:tc>
        <w:tc>
          <w:tcPr>
            <w:tcW w:w="2693"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lang w:val="en-US"/>
              </w:rPr>
              <w:t>7</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1</w:t>
            </w:r>
            <w:r w:rsidRPr="00343A7D">
              <w:rPr>
                <w:rFonts w:ascii="Times New Roman" w:hAnsi="Times New Roman" w:cs="Times New Roman"/>
                <w:color w:val="000000" w:themeColor="text1"/>
                <w:sz w:val="28"/>
                <w:szCs w:val="24"/>
              </w:rPr>
              <w:t>±1,</w:t>
            </w:r>
            <w:r w:rsidRPr="00343A7D">
              <w:rPr>
                <w:rFonts w:ascii="Times New Roman" w:hAnsi="Times New Roman" w:cs="Times New Roman"/>
                <w:color w:val="000000" w:themeColor="text1"/>
                <w:sz w:val="28"/>
                <w:szCs w:val="24"/>
                <w:lang w:val="en-US"/>
              </w:rPr>
              <w:t>8*#</w:t>
            </w:r>
          </w:p>
        </w:tc>
      </w:tr>
      <w:tr w:rsidR="00343A7D" w:rsidTr="001301DD">
        <w:tc>
          <w:tcPr>
            <w:tcW w:w="2835" w:type="dxa"/>
            <w:vAlign w:val="center"/>
          </w:tcPr>
          <w:p w:rsidR="00343A7D" w:rsidRPr="00343A7D" w:rsidRDefault="00343A7D" w:rsidP="00EB2A10">
            <w:pPr>
              <w:keepNext/>
              <w:widowControl w:val="0"/>
              <w:rPr>
                <w:rFonts w:ascii="Times New Roman" w:hAnsi="Times New Roman" w:cs="Times New Roman"/>
                <w:color w:val="000000" w:themeColor="text1"/>
                <w:sz w:val="28"/>
              </w:rPr>
            </w:pPr>
            <w:r w:rsidRPr="00343A7D">
              <w:rPr>
                <w:rFonts w:ascii="Times New Roman" w:hAnsi="Times New Roman" w:cs="Times New Roman"/>
                <w:color w:val="000000" w:themeColor="text1"/>
                <w:sz w:val="28"/>
                <w:szCs w:val="24"/>
                <w:lang w:val="en-US"/>
              </w:rPr>
              <w:t>Нейтрофилы</w:t>
            </w:r>
            <w:r w:rsidRPr="00343A7D">
              <w:rPr>
                <w:rFonts w:ascii="Times New Roman" w:hAnsi="Times New Roman" w:cs="Times New Roman"/>
                <w:color w:val="000000" w:themeColor="text1"/>
                <w:sz w:val="28"/>
                <w:szCs w:val="24"/>
              </w:rPr>
              <w:t>, %</w:t>
            </w:r>
          </w:p>
        </w:tc>
        <w:tc>
          <w:tcPr>
            <w:tcW w:w="2127"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77,0±13,5</w:t>
            </w:r>
          </w:p>
        </w:tc>
        <w:tc>
          <w:tcPr>
            <w:tcW w:w="2268"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lang w:val="en-US"/>
              </w:rPr>
              <w:t>70</w:t>
            </w:r>
            <w:r w:rsidRPr="00343A7D">
              <w:rPr>
                <w:rFonts w:ascii="Times New Roman" w:hAnsi="Times New Roman" w:cs="Times New Roman"/>
                <w:color w:val="000000" w:themeColor="text1"/>
                <w:sz w:val="28"/>
                <w:szCs w:val="24"/>
              </w:rPr>
              <w:t>,1±5,</w:t>
            </w:r>
            <w:r w:rsidRPr="00343A7D">
              <w:rPr>
                <w:rFonts w:ascii="Times New Roman" w:hAnsi="Times New Roman" w:cs="Times New Roman"/>
                <w:color w:val="000000" w:themeColor="text1"/>
                <w:sz w:val="28"/>
                <w:szCs w:val="24"/>
                <w:lang w:val="en-US"/>
              </w:rPr>
              <w:t xml:space="preserve">2 </w:t>
            </w:r>
          </w:p>
        </w:tc>
        <w:tc>
          <w:tcPr>
            <w:tcW w:w="2693"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lang w:val="en-US"/>
              </w:rPr>
              <w:t>72</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0</w:t>
            </w:r>
            <w:r w:rsidRPr="00343A7D">
              <w:rPr>
                <w:rFonts w:ascii="Times New Roman" w:hAnsi="Times New Roman" w:cs="Times New Roman"/>
                <w:color w:val="000000" w:themeColor="text1"/>
                <w:sz w:val="28"/>
                <w:szCs w:val="24"/>
              </w:rPr>
              <w:t>±7,6</w:t>
            </w:r>
          </w:p>
        </w:tc>
      </w:tr>
      <w:tr w:rsidR="00343A7D" w:rsidTr="001301DD">
        <w:tc>
          <w:tcPr>
            <w:tcW w:w="2835" w:type="dxa"/>
            <w:vAlign w:val="center"/>
          </w:tcPr>
          <w:p w:rsidR="00343A7D" w:rsidRPr="00343A7D" w:rsidRDefault="00343A7D" w:rsidP="00EB2A10">
            <w:pPr>
              <w:keepNext/>
              <w:widowControl w:val="0"/>
              <w:rPr>
                <w:rFonts w:ascii="Times New Roman" w:hAnsi="Times New Roman" w:cs="Times New Roman"/>
                <w:color w:val="000000" w:themeColor="text1"/>
                <w:sz w:val="28"/>
              </w:rPr>
            </w:pPr>
            <w:r w:rsidRPr="00343A7D">
              <w:rPr>
                <w:rFonts w:ascii="Times New Roman" w:hAnsi="Times New Roman" w:cs="Times New Roman"/>
                <w:color w:val="000000" w:themeColor="text1"/>
                <w:sz w:val="28"/>
                <w:szCs w:val="24"/>
                <w:lang w:val="en-US"/>
              </w:rPr>
              <w:t>СОЭ</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 xml:space="preserve"> мм/ч</w:t>
            </w:r>
          </w:p>
        </w:tc>
        <w:tc>
          <w:tcPr>
            <w:tcW w:w="2127"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5,8±2,</w:t>
            </w:r>
            <w:r w:rsidRPr="00343A7D">
              <w:rPr>
                <w:rFonts w:ascii="Times New Roman" w:hAnsi="Times New Roman" w:cs="Times New Roman"/>
                <w:color w:val="000000" w:themeColor="text1"/>
                <w:sz w:val="28"/>
                <w:szCs w:val="24"/>
                <w:lang w:val="en-US"/>
              </w:rPr>
              <w:t>2</w:t>
            </w:r>
          </w:p>
        </w:tc>
        <w:tc>
          <w:tcPr>
            <w:tcW w:w="2268"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rPr>
            </w:pPr>
            <w:r w:rsidRPr="00343A7D">
              <w:rPr>
                <w:rFonts w:ascii="Times New Roman" w:hAnsi="Times New Roman" w:cs="Times New Roman"/>
                <w:color w:val="000000" w:themeColor="text1"/>
                <w:sz w:val="28"/>
                <w:szCs w:val="24"/>
                <w:lang w:val="en-US"/>
              </w:rPr>
              <w:t>10</w:t>
            </w:r>
            <w:r w:rsidRPr="00343A7D">
              <w:rPr>
                <w:rFonts w:ascii="Times New Roman" w:hAnsi="Times New Roman" w:cs="Times New Roman"/>
                <w:color w:val="000000" w:themeColor="text1"/>
                <w:sz w:val="28"/>
                <w:szCs w:val="24"/>
              </w:rPr>
              <w:t>,</w:t>
            </w:r>
            <w:r w:rsidRPr="00343A7D">
              <w:rPr>
                <w:rFonts w:ascii="Times New Roman" w:hAnsi="Times New Roman" w:cs="Times New Roman"/>
                <w:color w:val="000000" w:themeColor="text1"/>
                <w:sz w:val="28"/>
                <w:szCs w:val="24"/>
                <w:lang w:val="en-US"/>
              </w:rPr>
              <w:t>6</w:t>
            </w:r>
            <w:r w:rsidRPr="00343A7D">
              <w:rPr>
                <w:rFonts w:ascii="Times New Roman" w:hAnsi="Times New Roman" w:cs="Times New Roman"/>
                <w:color w:val="000000" w:themeColor="text1"/>
                <w:sz w:val="28"/>
                <w:szCs w:val="24"/>
              </w:rPr>
              <w:t>±2,9</w:t>
            </w:r>
            <w:r w:rsidRPr="00343A7D">
              <w:rPr>
                <w:rFonts w:ascii="Times New Roman" w:hAnsi="Times New Roman" w:cs="Times New Roman"/>
                <w:color w:val="000000" w:themeColor="text1"/>
                <w:sz w:val="28"/>
                <w:szCs w:val="24"/>
                <w:lang w:val="en-US"/>
              </w:rPr>
              <w:t xml:space="preserve"> </w:t>
            </w:r>
            <w:r w:rsidRPr="00343A7D">
              <w:rPr>
                <w:rFonts w:ascii="Times New Roman" w:hAnsi="Times New Roman" w:cs="Times New Roman"/>
                <w:color w:val="000000" w:themeColor="text1"/>
                <w:sz w:val="28"/>
                <w:szCs w:val="24"/>
              </w:rPr>
              <w:t>*</w:t>
            </w:r>
          </w:p>
        </w:tc>
        <w:tc>
          <w:tcPr>
            <w:tcW w:w="2693" w:type="dxa"/>
            <w:vAlign w:val="center"/>
          </w:tcPr>
          <w:p w:rsidR="00343A7D" w:rsidRPr="00343A7D" w:rsidRDefault="00343A7D" w:rsidP="00EB2A10">
            <w:pPr>
              <w:keepNext/>
              <w:widowControl w:val="0"/>
              <w:jc w:val="center"/>
              <w:rPr>
                <w:rFonts w:ascii="Times New Roman" w:hAnsi="Times New Roman" w:cs="Times New Roman"/>
                <w:color w:val="000000" w:themeColor="text1"/>
                <w:sz w:val="28"/>
                <w:szCs w:val="24"/>
                <w:lang w:val="en-US"/>
              </w:rPr>
            </w:pPr>
            <w:r w:rsidRPr="00343A7D">
              <w:rPr>
                <w:rFonts w:ascii="Times New Roman" w:hAnsi="Times New Roman" w:cs="Times New Roman"/>
                <w:color w:val="000000" w:themeColor="text1"/>
                <w:sz w:val="28"/>
                <w:szCs w:val="24"/>
              </w:rPr>
              <w:t>8,</w:t>
            </w:r>
            <w:r w:rsidRPr="00343A7D">
              <w:rPr>
                <w:rFonts w:ascii="Times New Roman" w:hAnsi="Times New Roman" w:cs="Times New Roman"/>
                <w:color w:val="000000" w:themeColor="text1"/>
                <w:sz w:val="28"/>
                <w:szCs w:val="24"/>
                <w:lang w:val="en-US"/>
              </w:rPr>
              <w:t>1</w:t>
            </w:r>
            <w:r w:rsidRPr="00343A7D">
              <w:rPr>
                <w:rFonts w:ascii="Times New Roman" w:hAnsi="Times New Roman" w:cs="Times New Roman"/>
                <w:color w:val="000000" w:themeColor="text1"/>
                <w:sz w:val="28"/>
                <w:szCs w:val="24"/>
              </w:rPr>
              <w:t>±1,7</w:t>
            </w:r>
            <w:r w:rsidRPr="00343A7D">
              <w:rPr>
                <w:rFonts w:ascii="Times New Roman" w:hAnsi="Times New Roman" w:cs="Times New Roman"/>
                <w:color w:val="000000" w:themeColor="text1"/>
                <w:sz w:val="28"/>
                <w:szCs w:val="24"/>
                <w:lang w:val="en-US"/>
              </w:rPr>
              <w:t>*</w:t>
            </w:r>
          </w:p>
        </w:tc>
      </w:tr>
    </w:tbl>
    <w:p w:rsidR="00343A7D" w:rsidRPr="00EB2A10" w:rsidRDefault="00343A7D" w:rsidP="00E75DE8">
      <w:pPr>
        <w:spacing w:after="0" w:line="240" w:lineRule="auto"/>
        <w:jc w:val="both"/>
        <w:rPr>
          <w:rFonts w:ascii="Times New Roman" w:hAnsi="Times New Roman" w:cs="Times New Roman"/>
          <w:sz w:val="10"/>
          <w:szCs w:val="28"/>
        </w:rPr>
      </w:pPr>
    </w:p>
    <w:p w:rsidR="00E75DE8" w:rsidRPr="00343A7D" w:rsidRDefault="001301DD" w:rsidP="001301DD">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Примечание:</w:t>
      </w:r>
      <w:r w:rsidR="00E75DE8" w:rsidRPr="00343A7D">
        <w:rPr>
          <w:rFonts w:ascii="Times New Roman" w:hAnsi="Times New Roman" w:cs="Times New Roman"/>
          <w:i/>
          <w:sz w:val="24"/>
          <w:szCs w:val="28"/>
        </w:rPr>
        <w:t>* - p&lt;0,05 по сравнению с гр.1  (кр.Манна-Уитни)</w:t>
      </w:r>
      <w:r w:rsidR="00343A7D">
        <w:rPr>
          <w:rFonts w:ascii="Times New Roman" w:hAnsi="Times New Roman" w:cs="Times New Roman"/>
          <w:i/>
          <w:sz w:val="24"/>
          <w:szCs w:val="28"/>
        </w:rPr>
        <w:t>;</w:t>
      </w:r>
      <w:r w:rsidR="00E75DE8" w:rsidRPr="00343A7D">
        <w:rPr>
          <w:rFonts w:ascii="Times New Roman" w:hAnsi="Times New Roman" w:cs="Times New Roman"/>
          <w:i/>
          <w:sz w:val="24"/>
          <w:szCs w:val="28"/>
        </w:rPr>
        <w:t># - p&lt;0,05 по сравнению с гр.2  (кр.Манна-Уитни)</w:t>
      </w:r>
      <w:r w:rsidR="00343A7D">
        <w:rPr>
          <w:rFonts w:ascii="Times New Roman" w:hAnsi="Times New Roman" w:cs="Times New Roman"/>
          <w:i/>
          <w:sz w:val="24"/>
          <w:szCs w:val="28"/>
        </w:rPr>
        <w:t>.</w:t>
      </w:r>
    </w:p>
    <w:p w:rsidR="00E75DE8" w:rsidRPr="00EB2A10" w:rsidRDefault="00E75DE8" w:rsidP="00343A7D">
      <w:pPr>
        <w:spacing w:after="0" w:line="240" w:lineRule="auto"/>
        <w:ind w:firstLine="709"/>
        <w:jc w:val="both"/>
        <w:rPr>
          <w:rFonts w:ascii="Times New Roman" w:hAnsi="Times New Roman" w:cs="Times New Roman"/>
          <w:spacing w:val="-8"/>
          <w:sz w:val="28"/>
          <w:szCs w:val="28"/>
        </w:rPr>
      </w:pPr>
      <w:r w:rsidRPr="00EB2A10">
        <w:rPr>
          <w:rFonts w:ascii="Times New Roman" w:hAnsi="Times New Roman" w:cs="Times New Roman"/>
          <w:spacing w:val="-8"/>
          <w:sz w:val="28"/>
          <w:szCs w:val="28"/>
        </w:rPr>
        <w:t>Анализ показателей свертывающей системы крови  у обследуемых, проживающих в разных районах Кыргызстана, показал, что среднее значение уровня фибриногена в контрольной группе 1 составило 2,34±0,89 г/л, в группе 2 значение этого показателя было статистически значимо выше (p&lt;0,05) - 3,42±0,69 г/л. В третьей группе концентрация фибриногена была на уровне 3,76±1,06 г/л, что достоверно превышало (p&lt;0,05) таковую в контроле.</w:t>
      </w:r>
    </w:p>
    <w:p w:rsidR="00E75DE8" w:rsidRPr="00D01C4D" w:rsidRDefault="00E75DE8" w:rsidP="00343A7D">
      <w:pPr>
        <w:spacing w:after="0" w:line="240" w:lineRule="auto"/>
        <w:ind w:firstLine="709"/>
        <w:jc w:val="both"/>
        <w:rPr>
          <w:rFonts w:ascii="Times New Roman" w:hAnsi="Times New Roman" w:cs="Times New Roman"/>
          <w:spacing w:val="-6"/>
          <w:sz w:val="28"/>
          <w:szCs w:val="28"/>
        </w:rPr>
      </w:pPr>
      <w:r w:rsidRPr="00D01C4D">
        <w:rPr>
          <w:rFonts w:ascii="Times New Roman" w:hAnsi="Times New Roman" w:cs="Times New Roman"/>
          <w:spacing w:val="-6"/>
          <w:sz w:val="28"/>
          <w:szCs w:val="28"/>
        </w:rPr>
        <w:t xml:space="preserve">Величина параметра АЧТВ у лиц контрольной группы составила 39,7±5,6 с, во второй группе значение показателя было несколько ниже - 35,0±3,9, в третьей группе - 32,7±3,1 с . Протромбиновое время в первой, второй и третьей группах составило соответственно 14,0±2,5; 12,4±1,9  и 13,1±3,0 с (p&gt;0,05). Оценка тромбинового времени свидетельствовала о том, что значение этого показателя было на уровне 17,6±3,3 с в группе контроля, в группах 2 и 3  - 17,0±2,1 и 16,3±1,5 (p&gt;0,05).Величина показателя время кровотечения по Duke в контрольной группе составила 4,33±0,51 мин, тогда как во второй и третьей группах величина данного параметра была статистически значимо ниже (p&lt;0,05) Анализ показателей биохимического анализа крови у обследуемых, проживающих в разных районах Кыргызской Республики , показал отсутствие статистически значимых межгрупповых различий по всем показателям: уровням общего холестерина (ХС),  ХС ЛПВП, ЛПНП, ЛПОНП,  триглицеридов,  глюкозы,  мочевины,  мочевой кислоты, общего билирубина, активности  АЛТ и АСТ.          </w:t>
      </w:r>
    </w:p>
    <w:p w:rsidR="00E75DE8" w:rsidRPr="00D01C4D" w:rsidRDefault="00343A7D" w:rsidP="00343A7D">
      <w:pPr>
        <w:spacing w:after="0" w:line="240" w:lineRule="auto"/>
        <w:ind w:firstLine="709"/>
        <w:jc w:val="both"/>
        <w:rPr>
          <w:rFonts w:ascii="Times New Roman" w:hAnsi="Times New Roman" w:cs="Times New Roman"/>
          <w:b/>
          <w:spacing w:val="-6"/>
          <w:sz w:val="28"/>
          <w:szCs w:val="28"/>
        </w:rPr>
      </w:pPr>
      <w:r w:rsidRPr="00D01C4D">
        <w:rPr>
          <w:rFonts w:ascii="Times New Roman" w:hAnsi="Times New Roman" w:cs="Times New Roman"/>
          <w:b/>
          <w:spacing w:val="-6"/>
          <w:sz w:val="28"/>
          <w:szCs w:val="28"/>
        </w:rPr>
        <w:lastRenderedPageBreak/>
        <w:t>3.7</w:t>
      </w:r>
      <w:r w:rsidR="00E75DE8" w:rsidRPr="00D01C4D">
        <w:rPr>
          <w:rFonts w:ascii="Times New Roman" w:hAnsi="Times New Roman" w:cs="Times New Roman"/>
          <w:b/>
          <w:spacing w:val="-6"/>
          <w:sz w:val="28"/>
          <w:szCs w:val="28"/>
        </w:rPr>
        <w:t>.</w:t>
      </w:r>
      <w:r w:rsidRPr="00D01C4D">
        <w:rPr>
          <w:rFonts w:ascii="Times New Roman" w:hAnsi="Times New Roman" w:cs="Times New Roman"/>
          <w:b/>
          <w:spacing w:val="-6"/>
          <w:sz w:val="28"/>
          <w:szCs w:val="28"/>
        </w:rPr>
        <w:t xml:space="preserve"> </w:t>
      </w:r>
      <w:r w:rsidR="00E75DE8" w:rsidRPr="00D01C4D">
        <w:rPr>
          <w:rFonts w:ascii="Times New Roman" w:hAnsi="Times New Roman" w:cs="Times New Roman"/>
          <w:b/>
          <w:spacing w:val="-6"/>
          <w:sz w:val="28"/>
          <w:szCs w:val="28"/>
        </w:rPr>
        <w:t xml:space="preserve">Показатели иммунного статуса  у обследуемых. </w:t>
      </w:r>
    </w:p>
    <w:p w:rsidR="008A73AB" w:rsidRDefault="00E75DE8" w:rsidP="00343A7D">
      <w:pPr>
        <w:spacing w:after="0" w:line="240" w:lineRule="auto"/>
        <w:ind w:firstLine="709"/>
        <w:jc w:val="both"/>
        <w:rPr>
          <w:rFonts w:ascii="Times New Roman" w:hAnsi="Times New Roman" w:cs="Times New Roman"/>
          <w:spacing w:val="-6"/>
          <w:sz w:val="28"/>
          <w:szCs w:val="28"/>
        </w:rPr>
      </w:pPr>
      <w:r w:rsidRPr="00D01C4D">
        <w:rPr>
          <w:rFonts w:ascii="Times New Roman" w:hAnsi="Times New Roman" w:cs="Times New Roman"/>
          <w:spacing w:val="-6"/>
          <w:sz w:val="28"/>
          <w:szCs w:val="28"/>
        </w:rPr>
        <w:t>Изучение клеточного звена иммунного статуса обследуемых лиц показало, что относительное количество CD3+ лимфоцитов (общих) в группе контроля было на уровне 64,0±4,1%, тогда как в группах лиц, проживающих в районе цементного завода и в местности с высокой плотностью траффика, значения данного показателя были статистически значимо выше (p&lt;0,05) и составили соответственно 74,5±3,2 и  76,8±3,0% (рисунок 3.7.1).</w:t>
      </w:r>
      <w:r w:rsidR="00DF5D66">
        <w:rPr>
          <w:rFonts w:ascii="Times New Roman" w:hAnsi="Times New Roman" w:cs="Times New Roman"/>
          <w:spacing w:val="-6"/>
          <w:sz w:val="28"/>
          <w:szCs w:val="28"/>
        </w:rPr>
        <w:t xml:space="preserve"> Так как </w:t>
      </w:r>
      <w:r w:rsidR="00DF5D66">
        <w:rPr>
          <w:rFonts w:ascii="Times New Roman" w:hAnsi="Times New Roman" w:cs="Times New Roman"/>
          <w:spacing w:val="-6"/>
          <w:sz w:val="28"/>
          <w:szCs w:val="28"/>
          <w:lang w:val="en-US"/>
        </w:rPr>
        <w:t>CD</w:t>
      </w:r>
      <w:r w:rsidR="00DF5D66" w:rsidRPr="00DF5D66">
        <w:rPr>
          <w:rFonts w:ascii="Times New Roman" w:hAnsi="Times New Roman" w:cs="Times New Roman"/>
          <w:spacing w:val="-6"/>
          <w:sz w:val="28"/>
          <w:szCs w:val="28"/>
        </w:rPr>
        <w:t>3+</w:t>
      </w:r>
      <w:r w:rsidR="00DF5D66">
        <w:rPr>
          <w:rFonts w:ascii="Times New Roman" w:hAnsi="Times New Roman" w:cs="Times New Roman"/>
          <w:spacing w:val="-6"/>
          <w:sz w:val="28"/>
          <w:szCs w:val="28"/>
        </w:rPr>
        <w:t xml:space="preserve">лимфоциты играют ключевую роль в иммунном ответе, их повышение указывает на активацию иммунной системы. </w:t>
      </w:r>
      <w:r w:rsidR="003D74A5">
        <w:rPr>
          <w:rFonts w:ascii="Times New Roman" w:hAnsi="Times New Roman" w:cs="Times New Roman"/>
          <w:spacing w:val="-6"/>
          <w:sz w:val="28"/>
          <w:szCs w:val="28"/>
        </w:rPr>
        <w:t xml:space="preserve">В случаях хронической активации иммунной системы при постоянном воздействии загрязняющих веществ возможно развитие аутоиммунных процессов. </w:t>
      </w:r>
      <w:r w:rsidR="00DF5D66">
        <w:rPr>
          <w:rFonts w:ascii="Times New Roman" w:hAnsi="Times New Roman" w:cs="Times New Roman"/>
          <w:spacing w:val="-6"/>
          <w:sz w:val="28"/>
          <w:szCs w:val="28"/>
        </w:rPr>
        <w:t xml:space="preserve"> </w:t>
      </w:r>
      <w:r w:rsidRPr="00D01C4D">
        <w:rPr>
          <w:rFonts w:ascii="Times New Roman" w:hAnsi="Times New Roman" w:cs="Times New Roman"/>
          <w:spacing w:val="-6"/>
          <w:sz w:val="28"/>
          <w:szCs w:val="28"/>
        </w:rPr>
        <w:t xml:space="preserve">Уровень CD4+ -лимфоцитов (хелперов) у обследуемых групп 2 и 3 составил соответственно 47,0±2,9% и 50,5±2,8%  и был достоверно больше </w:t>
      </w:r>
      <w:r w:rsidR="00343A7D" w:rsidRPr="00D01C4D">
        <w:rPr>
          <w:rFonts w:ascii="Times New Roman" w:hAnsi="Times New Roman" w:cs="Times New Roman"/>
          <w:spacing w:val="-6"/>
          <w:sz w:val="28"/>
          <w:szCs w:val="28"/>
        </w:rPr>
        <w:t xml:space="preserve">(p&lt;0,05) величины </w:t>
      </w:r>
      <w:r w:rsidR="00EB2A10">
        <w:rPr>
          <w:rFonts w:ascii="Times New Roman" w:hAnsi="Times New Roman" w:cs="Times New Roman"/>
          <w:spacing w:val="-6"/>
          <w:sz w:val="28"/>
          <w:szCs w:val="28"/>
        </w:rPr>
        <w:t xml:space="preserve"> </w:t>
      </w:r>
      <w:r w:rsidR="00343A7D" w:rsidRPr="00D01C4D">
        <w:rPr>
          <w:rFonts w:ascii="Times New Roman" w:hAnsi="Times New Roman" w:cs="Times New Roman"/>
          <w:spacing w:val="-6"/>
          <w:sz w:val="28"/>
          <w:szCs w:val="28"/>
        </w:rPr>
        <w:t xml:space="preserve">в </w:t>
      </w:r>
      <w:r w:rsidR="00EB2A10">
        <w:rPr>
          <w:rFonts w:ascii="Times New Roman" w:hAnsi="Times New Roman" w:cs="Times New Roman"/>
          <w:spacing w:val="-6"/>
          <w:sz w:val="28"/>
          <w:szCs w:val="28"/>
        </w:rPr>
        <w:t xml:space="preserve"> </w:t>
      </w:r>
      <w:r w:rsidR="00343A7D" w:rsidRPr="00D01C4D">
        <w:rPr>
          <w:rFonts w:ascii="Times New Roman" w:hAnsi="Times New Roman" w:cs="Times New Roman"/>
          <w:spacing w:val="-6"/>
          <w:sz w:val="28"/>
          <w:szCs w:val="28"/>
        </w:rPr>
        <w:t>контроле -</w:t>
      </w:r>
      <w:r w:rsidRPr="00D01C4D">
        <w:rPr>
          <w:rFonts w:ascii="Times New Roman" w:hAnsi="Times New Roman" w:cs="Times New Roman"/>
          <w:spacing w:val="-6"/>
          <w:sz w:val="28"/>
          <w:szCs w:val="28"/>
        </w:rPr>
        <w:t>45,5±5,0%.</w:t>
      </w:r>
      <w:r w:rsidR="003D74A5">
        <w:rPr>
          <w:rFonts w:ascii="Times New Roman" w:hAnsi="Times New Roman" w:cs="Times New Roman"/>
          <w:spacing w:val="-6"/>
          <w:sz w:val="28"/>
          <w:szCs w:val="28"/>
        </w:rPr>
        <w:t xml:space="preserve"> Так как CD4+ -лимфоциты координируют иммунный ответ, их повышение может свидетельствовать о том</w:t>
      </w:r>
      <w:r w:rsidR="008A73AB">
        <w:rPr>
          <w:rFonts w:ascii="Times New Roman" w:hAnsi="Times New Roman" w:cs="Times New Roman"/>
          <w:spacing w:val="-6"/>
          <w:sz w:val="28"/>
          <w:szCs w:val="28"/>
        </w:rPr>
        <w:t>,</w:t>
      </w:r>
      <w:r w:rsidR="003D74A5">
        <w:rPr>
          <w:rFonts w:ascii="Times New Roman" w:hAnsi="Times New Roman" w:cs="Times New Roman"/>
          <w:spacing w:val="-6"/>
          <w:sz w:val="28"/>
          <w:szCs w:val="28"/>
        </w:rPr>
        <w:t xml:space="preserve"> что организм пытается активно бороться с воспалением или повреждением, вызванными загрязняющими веществами. Параллельно</w:t>
      </w:r>
      <w:r w:rsidR="003D74A5" w:rsidRPr="003D74A5">
        <w:t xml:space="preserve"> </w:t>
      </w:r>
      <w:r w:rsidR="003D74A5" w:rsidRPr="003D74A5">
        <w:rPr>
          <w:rFonts w:ascii="Times New Roman" w:hAnsi="Times New Roman" w:cs="Times New Roman"/>
          <w:spacing w:val="-6"/>
          <w:sz w:val="28"/>
          <w:szCs w:val="28"/>
        </w:rPr>
        <w:t xml:space="preserve">CD4+ </w:t>
      </w:r>
      <w:r w:rsidR="003D74A5">
        <w:rPr>
          <w:rFonts w:ascii="Times New Roman" w:hAnsi="Times New Roman" w:cs="Times New Roman"/>
          <w:spacing w:val="-6"/>
          <w:sz w:val="28"/>
          <w:szCs w:val="28"/>
        </w:rPr>
        <w:t>-лимфоциты</w:t>
      </w:r>
      <w:r w:rsidR="00027B45">
        <w:rPr>
          <w:rFonts w:ascii="Times New Roman" w:hAnsi="Times New Roman" w:cs="Times New Roman"/>
          <w:spacing w:val="-6"/>
          <w:sz w:val="28"/>
          <w:szCs w:val="28"/>
        </w:rPr>
        <w:t xml:space="preserve"> </w:t>
      </w:r>
      <w:r w:rsidR="003D74A5">
        <w:rPr>
          <w:rFonts w:ascii="Times New Roman" w:hAnsi="Times New Roman" w:cs="Times New Roman"/>
          <w:spacing w:val="-6"/>
          <w:sz w:val="28"/>
          <w:szCs w:val="28"/>
        </w:rPr>
        <w:t>участвуя в развитии аллергических реакций, помога</w:t>
      </w:r>
      <w:r w:rsidR="00027B45">
        <w:rPr>
          <w:rFonts w:ascii="Times New Roman" w:hAnsi="Times New Roman" w:cs="Times New Roman"/>
          <w:spacing w:val="-6"/>
          <w:sz w:val="28"/>
          <w:szCs w:val="28"/>
        </w:rPr>
        <w:t xml:space="preserve">ют </w:t>
      </w:r>
      <w:r w:rsidR="003D74A5">
        <w:rPr>
          <w:rFonts w:ascii="Times New Roman" w:hAnsi="Times New Roman" w:cs="Times New Roman"/>
          <w:spacing w:val="-6"/>
          <w:sz w:val="28"/>
          <w:szCs w:val="28"/>
        </w:rPr>
        <w:t xml:space="preserve">активировать другие клетки иммунной системы и способствую высобождению медиаторов воспаления.  </w:t>
      </w:r>
      <w:r w:rsidRPr="00D01C4D">
        <w:rPr>
          <w:rFonts w:ascii="Times New Roman" w:hAnsi="Times New Roman" w:cs="Times New Roman"/>
          <w:spacing w:val="-6"/>
          <w:sz w:val="28"/>
          <w:szCs w:val="28"/>
        </w:rPr>
        <w:t xml:space="preserve"> </w:t>
      </w:r>
      <w:r w:rsidR="00EB2A10">
        <w:rPr>
          <w:rFonts w:ascii="Times New Roman" w:hAnsi="Times New Roman" w:cs="Times New Roman"/>
          <w:spacing w:val="-6"/>
          <w:sz w:val="28"/>
          <w:szCs w:val="28"/>
        </w:rPr>
        <w:t xml:space="preserve"> </w:t>
      </w:r>
    </w:p>
    <w:tbl>
      <w:tblPr>
        <w:tblStyle w:val="a3"/>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808"/>
      </w:tblGrid>
      <w:tr w:rsidR="008A73AB" w:rsidTr="008A73AB">
        <w:tc>
          <w:tcPr>
            <w:tcW w:w="5046" w:type="dxa"/>
          </w:tcPr>
          <w:p w:rsidR="008A73AB" w:rsidRDefault="008A73AB" w:rsidP="008A73AB">
            <w:pPr>
              <w:jc w:val="center"/>
              <w:rPr>
                <w:rFonts w:ascii="Times New Roman" w:hAnsi="Times New Roman" w:cs="Times New Roman"/>
                <w:sz w:val="28"/>
                <w:szCs w:val="28"/>
              </w:rPr>
            </w:pPr>
            <w:r>
              <w:rPr>
                <w:noProof/>
                <w:sz w:val="28"/>
                <w:szCs w:val="28"/>
                <w:lang w:eastAsia="ru-RU"/>
              </w:rPr>
              <w:drawing>
                <wp:inline distT="0" distB="0" distL="114300" distR="114300" wp14:anchorId="6582F373" wp14:editId="6BC270B2">
                  <wp:extent cx="3039745" cy="1898650"/>
                  <wp:effectExtent l="0" t="0" r="8255" b="635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73AB" w:rsidRDefault="008A73AB" w:rsidP="008A73AB">
            <w:pPr>
              <w:spacing w:before="60"/>
              <w:jc w:val="center"/>
              <w:rPr>
                <w:rFonts w:ascii="Times New Roman" w:hAnsi="Times New Roman" w:cs="Times New Roman"/>
                <w:bCs/>
                <w:color w:val="000000" w:themeColor="text1"/>
                <w:sz w:val="28"/>
                <w:szCs w:val="28"/>
              </w:rPr>
            </w:pPr>
            <w:r w:rsidRPr="00105377">
              <w:rPr>
                <w:rFonts w:ascii="Times New Roman" w:hAnsi="Times New Roman" w:cs="Times New Roman"/>
                <w:bCs/>
                <w:color w:val="000000" w:themeColor="text1"/>
                <w:sz w:val="28"/>
                <w:szCs w:val="28"/>
              </w:rPr>
              <w:t>Рисунок 3.7.1 ‒ Количество CD3+</w:t>
            </w:r>
          </w:p>
          <w:p w:rsidR="008A73AB" w:rsidRDefault="008A73AB" w:rsidP="008A73AB">
            <w:pPr>
              <w:jc w:val="center"/>
              <w:rPr>
                <w:rFonts w:ascii="Times New Roman" w:hAnsi="Times New Roman" w:cs="Times New Roman"/>
                <w:sz w:val="28"/>
                <w:szCs w:val="28"/>
              </w:rPr>
            </w:pPr>
            <w:r w:rsidRPr="00105377">
              <w:rPr>
                <w:rFonts w:ascii="Times New Roman" w:hAnsi="Times New Roman" w:cs="Times New Roman"/>
                <w:bCs/>
                <w:color w:val="000000" w:themeColor="text1"/>
                <w:sz w:val="28"/>
                <w:szCs w:val="28"/>
              </w:rPr>
              <w:t>CD4+ лимфоцитов</w:t>
            </w:r>
            <w:r>
              <w:rPr>
                <w:rFonts w:ascii="Times New Roman" w:hAnsi="Times New Roman" w:cs="Times New Roman"/>
                <w:bCs/>
                <w:color w:val="000000" w:themeColor="text1"/>
                <w:sz w:val="28"/>
                <w:szCs w:val="28"/>
              </w:rPr>
              <w:t>.</w:t>
            </w:r>
          </w:p>
        </w:tc>
        <w:tc>
          <w:tcPr>
            <w:tcW w:w="4808" w:type="dxa"/>
          </w:tcPr>
          <w:p w:rsidR="008A73AB" w:rsidRDefault="008A73AB" w:rsidP="008A73AB">
            <w:pPr>
              <w:jc w:val="center"/>
              <w:rPr>
                <w:rFonts w:ascii="Times New Roman" w:hAnsi="Times New Roman" w:cs="Times New Roman"/>
                <w:sz w:val="28"/>
                <w:szCs w:val="28"/>
              </w:rPr>
            </w:pPr>
            <w:r>
              <w:rPr>
                <w:noProof/>
                <w:sz w:val="28"/>
                <w:szCs w:val="28"/>
                <w:lang w:eastAsia="ru-RU"/>
              </w:rPr>
              <w:drawing>
                <wp:inline distT="0" distB="0" distL="114300" distR="114300" wp14:anchorId="1D6A486A" wp14:editId="1168C5C7">
                  <wp:extent cx="2847975" cy="1898650"/>
                  <wp:effectExtent l="0" t="0" r="9525" b="635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73AB" w:rsidRDefault="008A73AB" w:rsidP="008A73AB">
            <w:pPr>
              <w:spacing w:before="60"/>
              <w:jc w:val="center"/>
              <w:rPr>
                <w:rFonts w:ascii="Times New Roman" w:hAnsi="Times New Roman" w:cs="Times New Roman"/>
                <w:sz w:val="28"/>
                <w:szCs w:val="28"/>
              </w:rPr>
            </w:pPr>
            <w:r w:rsidRPr="00CA23AC">
              <w:rPr>
                <w:rFonts w:ascii="Times New Roman" w:hAnsi="Times New Roman" w:cs="Times New Roman"/>
                <w:bCs/>
                <w:color w:val="000000" w:themeColor="text1"/>
                <w:sz w:val="28"/>
                <w:szCs w:val="28"/>
              </w:rPr>
              <w:t xml:space="preserve">Рисунок 3.7.2 </w:t>
            </w:r>
            <w:r>
              <w:rPr>
                <w:rFonts w:ascii="Times New Roman" w:hAnsi="Times New Roman" w:cs="Times New Roman"/>
                <w:bCs/>
                <w:color w:val="000000" w:themeColor="text1"/>
                <w:sz w:val="28"/>
                <w:szCs w:val="28"/>
              </w:rPr>
              <w:t>‒</w:t>
            </w:r>
            <w:r w:rsidRPr="00CA23AC">
              <w:rPr>
                <w:rFonts w:ascii="Times New Roman" w:hAnsi="Times New Roman" w:cs="Times New Roman"/>
                <w:bCs/>
                <w:color w:val="000000" w:themeColor="text1"/>
                <w:sz w:val="28"/>
                <w:szCs w:val="28"/>
              </w:rPr>
              <w:t xml:space="preserve"> Количество </w:t>
            </w:r>
            <w:r w:rsidRPr="00CA23AC">
              <w:rPr>
                <w:rFonts w:ascii="Times New Roman" w:hAnsi="Times New Roman" w:cs="Times New Roman"/>
                <w:bCs/>
                <w:color w:val="000000" w:themeColor="text1"/>
                <w:sz w:val="28"/>
                <w:szCs w:val="28"/>
                <w:lang w:val="en-US"/>
              </w:rPr>
              <w:t>CD</w:t>
            </w:r>
            <w:r w:rsidRPr="00CA23AC">
              <w:rPr>
                <w:rFonts w:ascii="Times New Roman" w:hAnsi="Times New Roman" w:cs="Times New Roman"/>
                <w:bCs/>
                <w:color w:val="000000" w:themeColor="text1"/>
                <w:sz w:val="28"/>
                <w:szCs w:val="28"/>
              </w:rPr>
              <w:t>8+</w:t>
            </w:r>
            <w:r w:rsidRPr="00343A7D">
              <w:rPr>
                <w:rFonts w:ascii="Times New Roman" w:hAnsi="Times New Roman" w:cs="Times New Roman"/>
                <w:bCs/>
                <w:color w:val="000000" w:themeColor="text1"/>
                <w:sz w:val="28"/>
                <w:szCs w:val="28"/>
              </w:rPr>
              <w:t xml:space="preserve"> </w:t>
            </w:r>
            <w:r w:rsidRPr="00CA23AC">
              <w:rPr>
                <w:rFonts w:ascii="Times New Roman" w:hAnsi="Times New Roman" w:cs="Times New Roman"/>
                <w:bCs/>
                <w:color w:val="000000" w:themeColor="text1"/>
                <w:sz w:val="28"/>
                <w:szCs w:val="28"/>
                <w:lang w:val="en-US"/>
              </w:rPr>
              <w:t>CD</w:t>
            </w:r>
            <w:r>
              <w:rPr>
                <w:rFonts w:ascii="Times New Roman" w:hAnsi="Times New Roman" w:cs="Times New Roman"/>
                <w:bCs/>
                <w:color w:val="000000" w:themeColor="text1"/>
                <w:sz w:val="28"/>
                <w:szCs w:val="28"/>
              </w:rPr>
              <w:t>20+ лимфоцитов.</w:t>
            </w:r>
          </w:p>
        </w:tc>
      </w:tr>
    </w:tbl>
    <w:p w:rsidR="00E75DE8" w:rsidRPr="008A73AB" w:rsidRDefault="008A73AB" w:rsidP="008A73AB">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E75DE8" w:rsidRPr="00D01C4D">
        <w:rPr>
          <w:rFonts w:ascii="Times New Roman" w:hAnsi="Times New Roman" w:cs="Times New Roman"/>
          <w:spacing w:val="-6"/>
          <w:sz w:val="28"/>
          <w:szCs w:val="28"/>
        </w:rPr>
        <w:t>Оценка</w:t>
      </w:r>
      <w:r w:rsidR="00EB2A10">
        <w:rPr>
          <w:rFonts w:ascii="Times New Roman" w:hAnsi="Times New Roman" w:cs="Times New Roman"/>
          <w:spacing w:val="-6"/>
          <w:sz w:val="28"/>
          <w:szCs w:val="28"/>
        </w:rPr>
        <w:t xml:space="preserve"> </w:t>
      </w:r>
      <w:r w:rsidR="00E75DE8" w:rsidRPr="00D01C4D">
        <w:rPr>
          <w:rFonts w:ascii="Times New Roman" w:hAnsi="Times New Roman" w:cs="Times New Roman"/>
          <w:spacing w:val="-6"/>
          <w:sz w:val="28"/>
          <w:szCs w:val="28"/>
        </w:rPr>
        <w:t xml:space="preserve"> количества CD8+-лимфоцитов (цитотоксических) показала, что если </w:t>
      </w:r>
      <w:r w:rsidR="00813EE4">
        <w:rPr>
          <w:rFonts w:ascii="Times New Roman" w:hAnsi="Times New Roman" w:cs="Times New Roman"/>
          <w:spacing w:val="-6"/>
          <w:sz w:val="28"/>
          <w:szCs w:val="28"/>
        </w:rPr>
        <w:t xml:space="preserve">в </w:t>
      </w:r>
      <w:r w:rsidR="00E75DE8" w:rsidRPr="00D01C4D">
        <w:rPr>
          <w:rFonts w:ascii="Times New Roman" w:hAnsi="Times New Roman" w:cs="Times New Roman"/>
          <w:spacing w:val="-6"/>
          <w:sz w:val="28"/>
          <w:szCs w:val="28"/>
        </w:rPr>
        <w:t>контрольной группе значение данного параметра составило 34,4±2,7%, то в группах 2 и 3 его уровни были статистически значимо ниже (p&lt;0,05), соответственно 22,5±1,5 и  24,0±4,0% (рисунок 3.7.2).</w:t>
      </w:r>
      <w:r w:rsidR="00813EE4">
        <w:rPr>
          <w:rFonts w:ascii="Times New Roman" w:hAnsi="Times New Roman" w:cs="Times New Roman"/>
          <w:spacing w:val="-6"/>
          <w:sz w:val="28"/>
          <w:szCs w:val="28"/>
        </w:rPr>
        <w:t>Так как CD8+-лимфоциты играют ключевую роль в уничтожении инфицированных клеток и клеток подвергшихся злокачественной трансформации, их снижение указывает на слабый цитотоксический ответ в дыхательных путях в ответ на повреждение клеток, вызванное загрязнителями</w:t>
      </w:r>
      <w:r w:rsidR="00DE212E">
        <w:rPr>
          <w:rFonts w:ascii="Times New Roman" w:hAnsi="Times New Roman" w:cs="Times New Roman"/>
          <w:spacing w:val="-6"/>
          <w:sz w:val="28"/>
          <w:szCs w:val="28"/>
        </w:rPr>
        <w:t xml:space="preserve"> и повышает риск инфицирования</w:t>
      </w:r>
      <w:r w:rsidR="00813EE4">
        <w:rPr>
          <w:rFonts w:ascii="Times New Roman" w:hAnsi="Times New Roman" w:cs="Times New Roman"/>
          <w:spacing w:val="-6"/>
          <w:sz w:val="28"/>
          <w:szCs w:val="28"/>
        </w:rPr>
        <w:t xml:space="preserve">.  </w:t>
      </w:r>
      <w:r w:rsidR="00E75DE8" w:rsidRPr="00D01C4D">
        <w:rPr>
          <w:rFonts w:ascii="Times New Roman" w:hAnsi="Times New Roman" w:cs="Times New Roman"/>
          <w:spacing w:val="-6"/>
          <w:sz w:val="28"/>
          <w:szCs w:val="28"/>
        </w:rPr>
        <w:t>Изучение содержания CD20+ -лимфоцитов в периферической крови обследуемых также показало, что его уровни в группах 2 и 3 были достоверно выше, чем в контроле.</w:t>
      </w:r>
      <w:r w:rsidR="00DE212E">
        <w:rPr>
          <w:rFonts w:ascii="Times New Roman" w:hAnsi="Times New Roman" w:cs="Times New Roman"/>
          <w:spacing w:val="-6"/>
          <w:sz w:val="28"/>
          <w:szCs w:val="28"/>
        </w:rPr>
        <w:t xml:space="preserve"> Так как CD20+ -лимфоциты играют ключевую роль  в процессе производства </w:t>
      </w:r>
      <w:r w:rsidR="00DE212E">
        <w:rPr>
          <w:rFonts w:ascii="Times New Roman" w:hAnsi="Times New Roman" w:cs="Times New Roman"/>
          <w:spacing w:val="-6"/>
          <w:sz w:val="28"/>
          <w:szCs w:val="28"/>
        </w:rPr>
        <w:lastRenderedPageBreak/>
        <w:t xml:space="preserve">антител, </w:t>
      </w:r>
      <w:r w:rsidR="00A03F2E">
        <w:rPr>
          <w:rFonts w:ascii="Times New Roman" w:hAnsi="Times New Roman" w:cs="Times New Roman"/>
          <w:spacing w:val="-6"/>
          <w:sz w:val="28"/>
          <w:szCs w:val="28"/>
        </w:rPr>
        <w:t>которые могут указывать на защиту организма от потенциально вредных воздействий.</w:t>
      </w:r>
      <w:r w:rsidR="00DA730D">
        <w:rPr>
          <w:rFonts w:ascii="Times New Roman" w:hAnsi="Times New Roman" w:cs="Times New Roman"/>
          <w:spacing w:val="-6"/>
          <w:sz w:val="28"/>
          <w:szCs w:val="28"/>
        </w:rPr>
        <w:t xml:space="preserve"> </w:t>
      </w:r>
      <w:r w:rsidR="00DA730D" w:rsidRPr="00DA730D">
        <w:rPr>
          <w:rFonts w:ascii="Times New Roman" w:hAnsi="Times New Roman" w:cs="Times New Roman"/>
          <w:spacing w:val="-6"/>
          <w:sz w:val="28"/>
          <w:szCs w:val="28"/>
        </w:rPr>
        <w:t>Величина индекса CD4/CD8 существенно различалась в группах обследуемых лиц. Так, если в первой группе его уровень составил 1,32±0,22,  то во второй группе он был статистически значимо выше (p&lt;0,05)  -  2,09±0,16. В группе 3 значение цитотоксического индекса было максимальным и составило 2,81±0,14, что было достоверно больше (p&lt;0,05) таковых в группах 1 и 2. Повышение данного индекса может свидетельствовать о чрезмерном активации иммунной системы, ее истощения и повышения риска развития аутоиммунных и онкологических процессов.</w:t>
      </w:r>
      <w:r w:rsidR="00DA730D">
        <w:rPr>
          <w:rFonts w:ascii="Times New Roman" w:hAnsi="Times New Roman" w:cs="Times New Roman"/>
          <w:spacing w:val="-6"/>
          <w:sz w:val="28"/>
          <w:szCs w:val="28"/>
        </w:rPr>
        <w:t xml:space="preserve"> </w:t>
      </w:r>
      <w:r w:rsidR="00AC544D">
        <w:rPr>
          <w:rFonts w:ascii="Times New Roman" w:hAnsi="Times New Roman" w:cs="Times New Roman"/>
          <w:spacing w:val="-6"/>
          <w:sz w:val="28"/>
          <w:szCs w:val="28"/>
        </w:rPr>
        <w:t xml:space="preserve"> </w:t>
      </w:r>
      <w:r w:rsidR="00AC544D">
        <w:rPr>
          <w:rFonts w:ascii="Times New Roman" w:hAnsi="Times New Roman" w:cs="Times New Roman"/>
          <w:sz w:val="28"/>
          <w:szCs w:val="28"/>
        </w:rPr>
        <w:t xml:space="preserve">Анализ </w:t>
      </w:r>
      <w:r w:rsidR="00E75DE8" w:rsidRPr="00E75DE8">
        <w:rPr>
          <w:rFonts w:ascii="Times New Roman" w:hAnsi="Times New Roman" w:cs="Times New Roman"/>
          <w:sz w:val="28"/>
          <w:szCs w:val="28"/>
        </w:rPr>
        <w:t>показателя  CD16+ - NK-клеток показал, что в первой группе его величина составила 6,5±1,7%, в то время как в группах лиц, проживающих в районе цементного завода и в местности с высокой плотностью траффика, значения параметра были выше (p&lt;0,05) и составили соотв</w:t>
      </w:r>
      <w:r w:rsidR="004C5762">
        <w:rPr>
          <w:rFonts w:ascii="Times New Roman" w:hAnsi="Times New Roman" w:cs="Times New Roman"/>
          <w:sz w:val="28"/>
          <w:szCs w:val="28"/>
        </w:rPr>
        <w:t>етственно 14,0±2,9  и 12,8±1,6.</w:t>
      </w:r>
      <w:r w:rsidR="00E75DE8" w:rsidRPr="00E75DE8">
        <w:rPr>
          <w:rFonts w:ascii="Times New Roman" w:hAnsi="Times New Roman" w:cs="Times New Roman"/>
          <w:sz w:val="28"/>
          <w:szCs w:val="28"/>
        </w:rPr>
        <w:t xml:space="preserve"> </w:t>
      </w:r>
      <w:r w:rsidR="009F4FE7">
        <w:rPr>
          <w:rFonts w:ascii="Times New Roman" w:hAnsi="Times New Roman" w:cs="Times New Roman"/>
          <w:sz w:val="28"/>
          <w:szCs w:val="28"/>
        </w:rPr>
        <w:t xml:space="preserve">В условиях загрязненной атмосферы </w:t>
      </w:r>
      <w:r w:rsidR="009F4FE7" w:rsidRPr="009F4FE7">
        <w:rPr>
          <w:rFonts w:ascii="Times New Roman" w:hAnsi="Times New Roman" w:cs="Times New Roman"/>
          <w:sz w:val="28"/>
          <w:szCs w:val="28"/>
        </w:rPr>
        <w:t>CD16+</w:t>
      </w:r>
      <w:r w:rsidR="009F4FE7">
        <w:rPr>
          <w:rFonts w:ascii="Times New Roman" w:hAnsi="Times New Roman" w:cs="Times New Roman"/>
          <w:sz w:val="28"/>
          <w:szCs w:val="28"/>
        </w:rPr>
        <w:t xml:space="preserve"> могут активироваться в ответ на воспалительные процессы, вызванные токсичными веществами , что может способствовать развитию или ухудшению заболеваний дыхательной системы.</w:t>
      </w:r>
    </w:p>
    <w:p w:rsidR="00B027B1" w:rsidRDefault="00AC544D" w:rsidP="004C5762">
      <w:pPr>
        <w:spacing w:after="0" w:line="240" w:lineRule="auto"/>
        <w:jc w:val="both"/>
        <w:rPr>
          <w:rFonts w:ascii="Times New Roman" w:hAnsi="Times New Roman" w:cs="Times New Roman"/>
          <w:sz w:val="28"/>
          <w:szCs w:val="28"/>
        </w:rPr>
      </w:pPr>
      <w:r>
        <w:rPr>
          <w:rFonts w:ascii="Times New Roman" w:hAnsi="Times New Roman" w:cs="Times New Roman"/>
          <w:sz w:val="16"/>
          <w:szCs w:val="28"/>
        </w:rPr>
        <w:t xml:space="preserve">           </w:t>
      </w:r>
      <w:r w:rsidR="00E75DE8" w:rsidRPr="00E75DE8">
        <w:rPr>
          <w:rFonts w:ascii="Times New Roman" w:hAnsi="Times New Roman" w:cs="Times New Roman"/>
          <w:sz w:val="28"/>
          <w:szCs w:val="28"/>
        </w:rPr>
        <w:t xml:space="preserve">Оценка показателей гуморального иммунитета </w:t>
      </w:r>
      <w:r w:rsidR="00B027B1">
        <w:rPr>
          <w:rFonts w:ascii="Times New Roman" w:hAnsi="Times New Roman" w:cs="Times New Roman"/>
          <w:sz w:val="28"/>
          <w:szCs w:val="28"/>
        </w:rPr>
        <w:t xml:space="preserve"> показан на таблице 3.7.4.</w:t>
      </w:r>
    </w:p>
    <w:p w:rsidR="00E75DE8" w:rsidRPr="00B027B1" w:rsidRDefault="00B027B1" w:rsidP="004C5762">
      <w:pPr>
        <w:spacing w:after="0" w:line="240" w:lineRule="auto"/>
        <w:jc w:val="both"/>
        <w:rPr>
          <w:rFonts w:ascii="Times New Roman" w:hAnsi="Times New Roman" w:cs="Times New Roman"/>
          <w:sz w:val="18"/>
          <w:szCs w:val="28"/>
        </w:rPr>
      </w:pPr>
      <w:r>
        <w:rPr>
          <w:rFonts w:ascii="Times New Roman" w:hAnsi="Times New Roman" w:cs="Times New Roman"/>
          <w:sz w:val="28"/>
          <w:szCs w:val="28"/>
        </w:rPr>
        <w:t>У обследуемых третьей группы</w:t>
      </w:r>
      <w:r w:rsidRPr="00B027B1">
        <w:rPr>
          <w:rFonts w:ascii="Times New Roman" w:hAnsi="Times New Roman" w:cs="Times New Roman"/>
          <w:sz w:val="28"/>
          <w:szCs w:val="28"/>
        </w:rPr>
        <w:t xml:space="preserve"> </w:t>
      </w:r>
      <w:r>
        <w:rPr>
          <w:rFonts w:ascii="Times New Roman" w:hAnsi="Times New Roman" w:cs="Times New Roman"/>
          <w:sz w:val="28"/>
          <w:szCs w:val="28"/>
        </w:rPr>
        <w:t>значение концентрация  Ig A превышало, что может свидетельствовать о попытке организма усилить защиту в слизистых оболочках дыхательных путей.</w:t>
      </w:r>
    </w:p>
    <w:p w:rsidR="00E75DE8" w:rsidRDefault="00E75DE8" w:rsidP="00E75DE8">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Таблица 3.7.4 ‒ Показатели гуморального иммунитета у обследуемых жителей</w:t>
      </w:r>
      <w:r w:rsidR="00CF514E">
        <w:rPr>
          <w:rFonts w:ascii="Times New Roman" w:hAnsi="Times New Roman" w:cs="Times New Roman"/>
          <w:sz w:val="28"/>
          <w:szCs w:val="28"/>
        </w:rPr>
        <w:t>.</w:t>
      </w:r>
      <w:r w:rsidRPr="00E75DE8">
        <w:rPr>
          <w:rFonts w:ascii="Times New Roman" w:hAnsi="Times New Roman" w:cs="Times New Roman"/>
          <w:sz w:val="28"/>
          <w:szCs w:val="28"/>
        </w:rPr>
        <w:t xml:space="preserve"> </w:t>
      </w:r>
    </w:p>
    <w:p w:rsidR="00D01C4D" w:rsidRPr="00D01C4D" w:rsidRDefault="00D01C4D" w:rsidP="00E75DE8">
      <w:pPr>
        <w:spacing w:after="0" w:line="240" w:lineRule="auto"/>
        <w:jc w:val="both"/>
        <w:rPr>
          <w:rFonts w:ascii="Times New Roman" w:hAnsi="Times New Roman" w:cs="Times New Roman"/>
          <w:sz w:val="20"/>
          <w:szCs w:val="28"/>
        </w:rPr>
      </w:pPr>
    </w:p>
    <w:tbl>
      <w:tblPr>
        <w:tblStyle w:val="a3"/>
        <w:tblW w:w="0" w:type="auto"/>
        <w:tblInd w:w="108" w:type="dxa"/>
        <w:tblLook w:val="04A0" w:firstRow="1" w:lastRow="0" w:firstColumn="1" w:lastColumn="0" w:noHBand="0" w:noVBand="1"/>
      </w:tblPr>
      <w:tblGrid>
        <w:gridCol w:w="2355"/>
        <w:gridCol w:w="2494"/>
        <w:gridCol w:w="2464"/>
        <w:gridCol w:w="2357"/>
      </w:tblGrid>
      <w:tr w:rsidR="00D01C4D" w:rsidTr="00D01C4D">
        <w:tc>
          <w:tcPr>
            <w:tcW w:w="2355" w:type="dxa"/>
          </w:tcPr>
          <w:p w:rsidR="00D01C4D" w:rsidRPr="00D01C4D" w:rsidRDefault="00D01C4D" w:rsidP="00D01C4D">
            <w:pPr>
              <w:keepNext/>
              <w:widowControl w:val="0"/>
              <w:spacing w:line="216" w:lineRule="auto"/>
              <w:contextualSpacing/>
              <w:rPr>
                <w:rFonts w:ascii="Times New Roman" w:hAnsi="Times New Roman" w:cs="Times New Roman"/>
                <w:color w:val="000000" w:themeColor="text1"/>
                <w:sz w:val="28"/>
                <w:szCs w:val="28"/>
                <w:lang w:val="az-Latn-AZ"/>
              </w:rPr>
            </w:pPr>
            <w:r w:rsidRPr="00D01C4D">
              <w:rPr>
                <w:rFonts w:ascii="Times New Roman" w:hAnsi="Times New Roman" w:cs="Times New Roman"/>
                <w:color w:val="000000" w:themeColor="text1"/>
                <w:sz w:val="28"/>
                <w:szCs w:val="28"/>
              </w:rPr>
              <w:t>П</w:t>
            </w:r>
            <w:r w:rsidRPr="00D01C4D">
              <w:rPr>
                <w:rFonts w:ascii="Times New Roman" w:hAnsi="Times New Roman" w:cs="Times New Roman"/>
                <w:color w:val="000000" w:themeColor="text1"/>
                <w:sz w:val="28"/>
                <w:szCs w:val="28"/>
                <w:lang w:val="az-Latn-AZ"/>
              </w:rPr>
              <w:t>оказатели</w:t>
            </w:r>
          </w:p>
          <w:p w:rsidR="00D01C4D" w:rsidRPr="00D01C4D" w:rsidRDefault="00D01C4D" w:rsidP="00D01C4D">
            <w:pPr>
              <w:pStyle w:val="Default"/>
              <w:keepNext/>
              <w:widowControl w:val="0"/>
              <w:spacing w:line="216" w:lineRule="auto"/>
              <w:rPr>
                <w:rFonts w:ascii="Times New Roman" w:hAnsi="Times New Roman" w:cs="Times New Roman"/>
                <w:color w:val="000000" w:themeColor="text1"/>
                <w:sz w:val="28"/>
                <w:szCs w:val="28"/>
                <w:lang w:eastAsia="en-US"/>
              </w:rPr>
            </w:pPr>
          </w:p>
        </w:tc>
        <w:tc>
          <w:tcPr>
            <w:tcW w:w="2463"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Группа 1</w:t>
            </w:r>
          </w:p>
          <w:p w:rsidR="00D01C4D" w:rsidRPr="00D01C4D" w:rsidRDefault="008A73AB"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К</w:t>
            </w:r>
            <w:r w:rsidR="00D01C4D" w:rsidRPr="00D01C4D">
              <w:rPr>
                <w:rFonts w:ascii="Times New Roman" w:hAnsi="Times New Roman" w:cs="Times New Roman"/>
                <w:color w:val="000000" w:themeColor="text1"/>
                <w:sz w:val="28"/>
                <w:szCs w:val="28"/>
              </w:rPr>
              <w:t>онтроль</w:t>
            </w:r>
            <w:r>
              <w:rPr>
                <w:rFonts w:ascii="Times New Roman" w:hAnsi="Times New Roman" w:cs="Times New Roman"/>
                <w:color w:val="000000" w:themeColor="text1"/>
                <w:sz w:val="28"/>
                <w:szCs w:val="28"/>
              </w:rPr>
              <w:t>(с.Папан)</w:t>
            </w:r>
          </w:p>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lang w:val="en-US"/>
              </w:rPr>
              <w:t>n</w:t>
            </w:r>
            <w:r w:rsidRPr="008A73AB">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rPr>
              <w:t>68</w:t>
            </w:r>
            <w:r w:rsidRPr="008A73AB">
              <w:rPr>
                <w:rFonts w:ascii="Times New Roman" w:hAnsi="Times New Roman" w:cs="Times New Roman"/>
                <w:color w:val="000000" w:themeColor="text1"/>
                <w:sz w:val="28"/>
                <w:szCs w:val="28"/>
              </w:rPr>
              <w:t>)</w:t>
            </w:r>
          </w:p>
        </w:tc>
        <w:tc>
          <w:tcPr>
            <w:tcW w:w="2464"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Группа 2</w:t>
            </w:r>
          </w:p>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ЦЗ</w:t>
            </w:r>
            <w:r w:rsidR="008A73AB">
              <w:rPr>
                <w:rFonts w:ascii="Times New Roman" w:hAnsi="Times New Roman" w:cs="Times New Roman"/>
                <w:color w:val="000000" w:themeColor="text1"/>
                <w:sz w:val="28"/>
                <w:szCs w:val="28"/>
              </w:rPr>
              <w:t>(с.</w:t>
            </w:r>
            <w:r w:rsidR="00143E10">
              <w:rPr>
                <w:rFonts w:ascii="Times New Roman" w:hAnsi="Times New Roman" w:cs="Times New Roman"/>
                <w:color w:val="000000" w:themeColor="text1"/>
                <w:sz w:val="28"/>
                <w:szCs w:val="28"/>
              </w:rPr>
              <w:t>Гулбаар</w:t>
            </w:r>
            <w:r w:rsidR="008A73AB">
              <w:rPr>
                <w:rFonts w:ascii="Times New Roman" w:hAnsi="Times New Roman" w:cs="Times New Roman"/>
                <w:color w:val="000000" w:themeColor="text1"/>
                <w:sz w:val="28"/>
                <w:szCs w:val="28"/>
              </w:rPr>
              <w:t>)</w:t>
            </w:r>
          </w:p>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lang w:val="en-US"/>
              </w:rPr>
              <w:t>n</w:t>
            </w:r>
            <w:r w:rsidRPr="008A73AB">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rPr>
              <w:t>74</w:t>
            </w:r>
            <w:r w:rsidRPr="008A73AB">
              <w:rPr>
                <w:rFonts w:ascii="Times New Roman" w:hAnsi="Times New Roman" w:cs="Times New Roman"/>
                <w:color w:val="000000" w:themeColor="text1"/>
                <w:sz w:val="28"/>
                <w:szCs w:val="28"/>
              </w:rPr>
              <w:t>)</w:t>
            </w:r>
          </w:p>
        </w:tc>
        <w:tc>
          <w:tcPr>
            <w:tcW w:w="2357"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Группа 3</w:t>
            </w:r>
          </w:p>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Тр</w:t>
            </w:r>
            <w:r w:rsidR="008A73AB">
              <w:rPr>
                <w:rFonts w:ascii="Times New Roman" w:hAnsi="Times New Roman" w:cs="Times New Roman"/>
                <w:color w:val="000000" w:themeColor="text1"/>
                <w:sz w:val="28"/>
                <w:szCs w:val="28"/>
              </w:rPr>
              <w:t>(г.Ош)</w:t>
            </w:r>
          </w:p>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lang w:val="en-US"/>
              </w:rPr>
              <w:t>n</w:t>
            </w:r>
            <w:r w:rsidRPr="008A73AB">
              <w:rPr>
                <w:rFonts w:ascii="Times New Roman" w:hAnsi="Times New Roman" w:cs="Times New Roman"/>
                <w:color w:val="000000" w:themeColor="text1"/>
                <w:sz w:val="28"/>
                <w:szCs w:val="28"/>
              </w:rPr>
              <w:t>=</w:t>
            </w:r>
            <w:r w:rsidRPr="00D01C4D">
              <w:rPr>
                <w:rFonts w:ascii="Times New Roman" w:hAnsi="Times New Roman" w:cs="Times New Roman"/>
                <w:color w:val="000000" w:themeColor="text1"/>
                <w:sz w:val="28"/>
                <w:szCs w:val="28"/>
              </w:rPr>
              <w:t>70</w:t>
            </w:r>
            <w:r w:rsidRPr="008A73AB">
              <w:rPr>
                <w:rFonts w:ascii="Times New Roman" w:hAnsi="Times New Roman" w:cs="Times New Roman"/>
                <w:color w:val="000000" w:themeColor="text1"/>
                <w:sz w:val="28"/>
                <w:szCs w:val="28"/>
              </w:rPr>
              <w:t>)</w:t>
            </w:r>
          </w:p>
        </w:tc>
      </w:tr>
      <w:tr w:rsidR="00D01C4D" w:rsidTr="00D01C4D">
        <w:tc>
          <w:tcPr>
            <w:tcW w:w="2355" w:type="dxa"/>
          </w:tcPr>
          <w:p w:rsidR="00D01C4D" w:rsidRPr="00D01C4D" w:rsidRDefault="00D01C4D" w:rsidP="00D01C4D">
            <w:pPr>
              <w:pStyle w:val="Default"/>
              <w:keepNext/>
              <w:widowControl w:val="0"/>
              <w:autoSpaceDE/>
              <w:autoSpaceDN/>
              <w:adjustRightInd/>
              <w:spacing w:line="216" w:lineRule="auto"/>
              <w:rPr>
                <w:rFonts w:ascii="Times New Roman" w:eastAsiaTheme="minorHAnsi" w:hAnsi="Times New Roman" w:cs="Times New Roman"/>
                <w:color w:val="000000" w:themeColor="text1"/>
                <w:sz w:val="28"/>
                <w:szCs w:val="28"/>
                <w:lang w:eastAsia="en-US"/>
              </w:rPr>
            </w:pPr>
            <w:r w:rsidRPr="00D01C4D">
              <w:rPr>
                <w:rFonts w:ascii="Times New Roman" w:hAnsi="Times New Roman" w:cs="Times New Roman"/>
                <w:color w:val="000000" w:themeColor="text1"/>
                <w:sz w:val="28"/>
                <w:szCs w:val="28"/>
                <w:lang w:val="en-US"/>
              </w:rPr>
              <w:t xml:space="preserve">Ig A, </w:t>
            </w:r>
            <w:r w:rsidRPr="00D01C4D">
              <w:rPr>
                <w:rFonts w:ascii="Times New Roman" w:hAnsi="Times New Roman" w:cs="Times New Roman"/>
                <w:color w:val="000000" w:themeColor="text1"/>
                <w:sz w:val="28"/>
                <w:szCs w:val="28"/>
              </w:rPr>
              <w:t>г</w:t>
            </w:r>
            <w:r w:rsidRPr="00D01C4D">
              <w:rPr>
                <w:rFonts w:ascii="Times New Roman" w:hAnsi="Times New Roman" w:cs="Times New Roman"/>
                <w:color w:val="000000" w:themeColor="text1"/>
                <w:sz w:val="28"/>
                <w:szCs w:val="28"/>
                <w:lang w:val="en-US"/>
              </w:rPr>
              <w:t>/</w:t>
            </w:r>
            <w:r w:rsidRPr="00D01C4D">
              <w:rPr>
                <w:rFonts w:ascii="Times New Roman" w:hAnsi="Times New Roman" w:cs="Times New Roman"/>
                <w:color w:val="000000" w:themeColor="text1"/>
                <w:sz w:val="28"/>
                <w:szCs w:val="28"/>
              </w:rPr>
              <w:t>л</w:t>
            </w:r>
          </w:p>
        </w:tc>
        <w:tc>
          <w:tcPr>
            <w:tcW w:w="2463"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rPr>
              <w:t>2</w:t>
            </w:r>
            <w:r w:rsidRPr="00D01C4D">
              <w:rPr>
                <w:rFonts w:ascii="Times New Roman" w:hAnsi="Times New Roman" w:cs="Times New Roman"/>
                <w:bCs/>
                <w:color w:val="000000" w:themeColor="text1"/>
                <w:sz w:val="28"/>
                <w:szCs w:val="28"/>
                <w:lang w:val="en-US"/>
              </w:rPr>
              <w:t>,</w:t>
            </w:r>
            <w:r w:rsidRPr="00D01C4D">
              <w:rPr>
                <w:rFonts w:ascii="Times New Roman" w:hAnsi="Times New Roman" w:cs="Times New Roman"/>
                <w:bCs/>
                <w:color w:val="000000" w:themeColor="text1"/>
                <w:sz w:val="28"/>
                <w:szCs w:val="28"/>
                <w:lang w:val="az-Latn-AZ"/>
              </w:rPr>
              <w:t>6</w:t>
            </w:r>
            <w:r w:rsidRPr="00D01C4D">
              <w:rPr>
                <w:rFonts w:ascii="Times New Roman" w:hAnsi="Times New Roman" w:cs="Times New Roman"/>
                <w:color w:val="000000" w:themeColor="text1"/>
                <w:sz w:val="28"/>
                <w:szCs w:val="28"/>
              </w:rPr>
              <w:t>±0,3</w:t>
            </w:r>
          </w:p>
        </w:tc>
        <w:tc>
          <w:tcPr>
            <w:tcW w:w="2464"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rPr>
              <w:t>2</w:t>
            </w:r>
            <w:r w:rsidRPr="00D01C4D">
              <w:rPr>
                <w:rFonts w:ascii="Times New Roman" w:hAnsi="Times New Roman" w:cs="Times New Roman"/>
                <w:bCs/>
                <w:color w:val="000000" w:themeColor="text1"/>
                <w:sz w:val="28"/>
                <w:szCs w:val="28"/>
                <w:lang w:val="en-US"/>
              </w:rPr>
              <w:t>,9</w:t>
            </w:r>
            <w:r w:rsidRPr="00D01C4D">
              <w:rPr>
                <w:rFonts w:ascii="Times New Roman" w:hAnsi="Times New Roman" w:cs="Times New Roman"/>
                <w:color w:val="000000" w:themeColor="text1"/>
                <w:sz w:val="28"/>
                <w:szCs w:val="28"/>
              </w:rPr>
              <w:t>±0,4</w:t>
            </w:r>
          </w:p>
        </w:tc>
        <w:tc>
          <w:tcPr>
            <w:tcW w:w="2357"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rPr>
              <w:t>3</w:t>
            </w:r>
            <w:r w:rsidRPr="00D01C4D">
              <w:rPr>
                <w:rFonts w:ascii="Times New Roman" w:hAnsi="Times New Roman" w:cs="Times New Roman"/>
                <w:bCs/>
                <w:color w:val="000000" w:themeColor="text1"/>
                <w:sz w:val="28"/>
                <w:szCs w:val="28"/>
                <w:lang w:val="en-US"/>
              </w:rPr>
              <w:t>,</w:t>
            </w:r>
            <w:r w:rsidRPr="00D01C4D">
              <w:rPr>
                <w:rFonts w:ascii="Times New Roman" w:hAnsi="Times New Roman" w:cs="Times New Roman"/>
                <w:bCs/>
                <w:color w:val="000000" w:themeColor="text1"/>
                <w:sz w:val="28"/>
                <w:szCs w:val="28"/>
                <w:lang w:val="az-Latn-AZ"/>
              </w:rPr>
              <w:t>6</w:t>
            </w:r>
            <w:r w:rsidRPr="00D01C4D">
              <w:rPr>
                <w:rFonts w:ascii="Times New Roman" w:hAnsi="Times New Roman" w:cs="Times New Roman"/>
                <w:color w:val="000000" w:themeColor="text1"/>
                <w:sz w:val="28"/>
                <w:szCs w:val="28"/>
              </w:rPr>
              <w:t>±0,2</w:t>
            </w:r>
            <w:r w:rsidRPr="00D01C4D">
              <w:rPr>
                <w:rFonts w:ascii="Times New Roman" w:hAnsi="Times New Roman" w:cs="Times New Roman"/>
                <w:bCs/>
                <w:color w:val="000000" w:themeColor="text1"/>
                <w:sz w:val="28"/>
                <w:szCs w:val="28"/>
              </w:rPr>
              <w:t>*</w:t>
            </w:r>
          </w:p>
        </w:tc>
      </w:tr>
      <w:tr w:rsidR="00D01C4D" w:rsidTr="00D01C4D">
        <w:tc>
          <w:tcPr>
            <w:tcW w:w="2355" w:type="dxa"/>
          </w:tcPr>
          <w:p w:rsidR="00D01C4D" w:rsidRPr="00D01C4D" w:rsidRDefault="00D01C4D" w:rsidP="00D01C4D">
            <w:pPr>
              <w:pStyle w:val="Default"/>
              <w:keepNext/>
              <w:widowControl w:val="0"/>
              <w:autoSpaceDE/>
              <w:autoSpaceDN/>
              <w:adjustRightInd/>
              <w:spacing w:line="216" w:lineRule="auto"/>
              <w:rPr>
                <w:rFonts w:ascii="Times New Roman" w:eastAsiaTheme="minorHAnsi" w:hAnsi="Times New Roman" w:cs="Times New Roman"/>
                <w:color w:val="000000" w:themeColor="text1"/>
                <w:sz w:val="28"/>
                <w:szCs w:val="28"/>
                <w:lang w:eastAsia="en-US"/>
              </w:rPr>
            </w:pPr>
            <w:r w:rsidRPr="00D01C4D">
              <w:rPr>
                <w:rFonts w:ascii="Times New Roman" w:hAnsi="Times New Roman" w:cs="Times New Roman"/>
                <w:color w:val="000000" w:themeColor="text1"/>
                <w:sz w:val="28"/>
                <w:szCs w:val="28"/>
                <w:lang w:val="en-US"/>
              </w:rPr>
              <w:t xml:space="preserve">Ig </w:t>
            </w:r>
            <w:r w:rsidRPr="00D01C4D">
              <w:rPr>
                <w:rFonts w:ascii="Times New Roman" w:hAnsi="Times New Roman" w:cs="Times New Roman"/>
                <w:color w:val="000000" w:themeColor="text1"/>
                <w:sz w:val="28"/>
                <w:szCs w:val="28"/>
              </w:rPr>
              <w:t>М</w:t>
            </w:r>
            <w:r w:rsidRPr="00D01C4D">
              <w:rPr>
                <w:rFonts w:ascii="Times New Roman" w:hAnsi="Times New Roman" w:cs="Times New Roman"/>
                <w:color w:val="000000" w:themeColor="text1"/>
                <w:sz w:val="28"/>
                <w:szCs w:val="28"/>
                <w:lang w:val="en-US"/>
              </w:rPr>
              <w:t xml:space="preserve">, </w:t>
            </w:r>
            <w:r w:rsidRPr="00D01C4D">
              <w:rPr>
                <w:rFonts w:ascii="Times New Roman" w:hAnsi="Times New Roman" w:cs="Times New Roman"/>
                <w:color w:val="000000" w:themeColor="text1"/>
                <w:sz w:val="28"/>
                <w:szCs w:val="28"/>
              </w:rPr>
              <w:t>г</w:t>
            </w:r>
            <w:r w:rsidRPr="00D01C4D">
              <w:rPr>
                <w:rFonts w:ascii="Times New Roman" w:hAnsi="Times New Roman" w:cs="Times New Roman"/>
                <w:color w:val="000000" w:themeColor="text1"/>
                <w:sz w:val="28"/>
                <w:szCs w:val="28"/>
                <w:lang w:val="en-US"/>
              </w:rPr>
              <w:t>/</w:t>
            </w:r>
            <w:r w:rsidRPr="00D01C4D">
              <w:rPr>
                <w:rFonts w:ascii="Times New Roman" w:hAnsi="Times New Roman" w:cs="Times New Roman"/>
                <w:color w:val="000000" w:themeColor="text1"/>
                <w:sz w:val="28"/>
                <w:szCs w:val="28"/>
              </w:rPr>
              <w:t>л</w:t>
            </w:r>
          </w:p>
        </w:tc>
        <w:tc>
          <w:tcPr>
            <w:tcW w:w="2463"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lang w:val="en-US"/>
              </w:rPr>
              <w:t>1,5</w:t>
            </w:r>
            <w:r w:rsidRPr="00D01C4D">
              <w:rPr>
                <w:rFonts w:ascii="Times New Roman" w:hAnsi="Times New Roman" w:cs="Times New Roman"/>
                <w:color w:val="000000" w:themeColor="text1"/>
                <w:sz w:val="28"/>
                <w:szCs w:val="28"/>
              </w:rPr>
              <w:t>±0,2</w:t>
            </w:r>
          </w:p>
        </w:tc>
        <w:tc>
          <w:tcPr>
            <w:tcW w:w="2464"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lang w:val="en-US"/>
              </w:rPr>
              <w:t>1,7</w:t>
            </w:r>
            <w:r w:rsidRPr="00D01C4D">
              <w:rPr>
                <w:rFonts w:ascii="Times New Roman" w:hAnsi="Times New Roman" w:cs="Times New Roman"/>
                <w:color w:val="000000" w:themeColor="text1"/>
                <w:sz w:val="28"/>
                <w:szCs w:val="28"/>
              </w:rPr>
              <w:t>±0,4</w:t>
            </w:r>
          </w:p>
        </w:tc>
        <w:tc>
          <w:tcPr>
            <w:tcW w:w="2357" w:type="dxa"/>
          </w:tcPr>
          <w:p w:rsidR="00D01C4D" w:rsidRPr="00D01C4D" w:rsidRDefault="00D01C4D" w:rsidP="00D01C4D">
            <w:pPr>
              <w:keepNext/>
              <w:widowControl w:val="0"/>
              <w:spacing w:line="216" w:lineRule="auto"/>
              <w:contextualSpacing/>
              <w:jc w:val="center"/>
              <w:rPr>
                <w:rFonts w:ascii="Times New Roman" w:hAnsi="Times New Roman" w:cs="Times New Roman"/>
                <w:bCs/>
                <w:color w:val="000000" w:themeColor="text1"/>
                <w:sz w:val="28"/>
                <w:szCs w:val="28"/>
              </w:rPr>
            </w:pPr>
            <w:r w:rsidRPr="00D01C4D">
              <w:rPr>
                <w:rFonts w:ascii="Times New Roman" w:hAnsi="Times New Roman" w:cs="Times New Roman"/>
                <w:bCs/>
                <w:color w:val="000000" w:themeColor="text1"/>
                <w:sz w:val="28"/>
                <w:szCs w:val="28"/>
                <w:lang w:val="en-US"/>
              </w:rPr>
              <w:t>1,8</w:t>
            </w:r>
            <w:r w:rsidRPr="00D01C4D">
              <w:rPr>
                <w:rFonts w:ascii="Times New Roman" w:hAnsi="Times New Roman" w:cs="Times New Roman"/>
                <w:color w:val="000000" w:themeColor="text1"/>
                <w:sz w:val="28"/>
                <w:szCs w:val="28"/>
              </w:rPr>
              <w:t>±0,1</w:t>
            </w:r>
          </w:p>
        </w:tc>
      </w:tr>
      <w:tr w:rsidR="00D01C4D" w:rsidTr="00D01C4D">
        <w:tc>
          <w:tcPr>
            <w:tcW w:w="2355" w:type="dxa"/>
          </w:tcPr>
          <w:p w:rsidR="00D01C4D" w:rsidRPr="00D01C4D" w:rsidRDefault="00D01C4D" w:rsidP="00D01C4D">
            <w:pPr>
              <w:keepNext/>
              <w:widowControl w:val="0"/>
              <w:spacing w:line="216" w:lineRule="auto"/>
              <w:contextualSpacing/>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lang w:val="en-US"/>
              </w:rPr>
              <w:t xml:space="preserve">Ig G, </w:t>
            </w:r>
            <w:r w:rsidRPr="00D01C4D">
              <w:rPr>
                <w:rFonts w:ascii="Times New Roman" w:hAnsi="Times New Roman" w:cs="Times New Roman"/>
                <w:color w:val="000000" w:themeColor="text1"/>
                <w:sz w:val="28"/>
                <w:szCs w:val="28"/>
              </w:rPr>
              <w:t>г</w:t>
            </w:r>
            <w:r w:rsidRPr="00D01C4D">
              <w:rPr>
                <w:rFonts w:ascii="Times New Roman" w:hAnsi="Times New Roman" w:cs="Times New Roman"/>
                <w:color w:val="000000" w:themeColor="text1"/>
                <w:sz w:val="28"/>
                <w:szCs w:val="28"/>
                <w:lang w:val="en-US"/>
              </w:rPr>
              <w:t>/</w:t>
            </w:r>
            <w:r w:rsidRPr="00D01C4D">
              <w:rPr>
                <w:rFonts w:ascii="Times New Roman" w:hAnsi="Times New Roman" w:cs="Times New Roman"/>
                <w:color w:val="000000" w:themeColor="text1"/>
                <w:sz w:val="28"/>
                <w:szCs w:val="28"/>
              </w:rPr>
              <w:t>л</w:t>
            </w:r>
          </w:p>
        </w:tc>
        <w:tc>
          <w:tcPr>
            <w:tcW w:w="2463"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lang w:val="en-US"/>
              </w:rPr>
              <w:t>11</w:t>
            </w:r>
            <w:r w:rsidRPr="00D01C4D">
              <w:rPr>
                <w:rFonts w:ascii="Times New Roman" w:hAnsi="Times New Roman" w:cs="Times New Roman"/>
                <w:color w:val="000000" w:themeColor="text1"/>
                <w:sz w:val="28"/>
                <w:szCs w:val="28"/>
                <w:lang w:val="az-Latn-AZ"/>
              </w:rPr>
              <w:t>,</w:t>
            </w:r>
            <w:r w:rsidRPr="00D01C4D">
              <w:rPr>
                <w:rFonts w:ascii="Times New Roman" w:hAnsi="Times New Roman" w:cs="Times New Roman"/>
                <w:color w:val="000000" w:themeColor="text1"/>
                <w:sz w:val="28"/>
                <w:szCs w:val="28"/>
                <w:lang w:val="en-US"/>
              </w:rPr>
              <w:t>4</w:t>
            </w:r>
            <w:r w:rsidRPr="00D01C4D">
              <w:rPr>
                <w:rFonts w:ascii="Times New Roman" w:hAnsi="Times New Roman" w:cs="Times New Roman"/>
                <w:color w:val="000000" w:themeColor="text1"/>
                <w:sz w:val="28"/>
                <w:szCs w:val="28"/>
              </w:rPr>
              <w:t>±1,4</w:t>
            </w:r>
            <w:r w:rsidRPr="00D01C4D">
              <w:rPr>
                <w:rFonts w:ascii="Times New Roman" w:hAnsi="Times New Roman" w:cs="Times New Roman"/>
                <w:color w:val="000000" w:themeColor="text1"/>
                <w:sz w:val="28"/>
                <w:szCs w:val="28"/>
                <w:lang w:val="en-US"/>
              </w:rPr>
              <w:t xml:space="preserve"> </w:t>
            </w:r>
          </w:p>
        </w:tc>
        <w:tc>
          <w:tcPr>
            <w:tcW w:w="2464"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lang w:val="en-US"/>
              </w:rPr>
              <w:t>1</w:t>
            </w:r>
            <w:r w:rsidRPr="00D01C4D">
              <w:rPr>
                <w:rFonts w:ascii="Times New Roman" w:hAnsi="Times New Roman" w:cs="Times New Roman"/>
                <w:color w:val="000000" w:themeColor="text1"/>
                <w:sz w:val="28"/>
                <w:szCs w:val="28"/>
                <w:lang w:val="az-Latn-AZ"/>
              </w:rPr>
              <w:t>2,6</w:t>
            </w:r>
            <w:r w:rsidRPr="00D01C4D">
              <w:rPr>
                <w:rFonts w:ascii="Times New Roman" w:hAnsi="Times New Roman" w:cs="Times New Roman"/>
                <w:color w:val="000000" w:themeColor="text1"/>
                <w:sz w:val="28"/>
                <w:szCs w:val="28"/>
                <w:lang w:val="en-US"/>
              </w:rPr>
              <w:t xml:space="preserve"> </w:t>
            </w:r>
            <w:r w:rsidRPr="00D01C4D">
              <w:rPr>
                <w:rFonts w:ascii="Times New Roman" w:hAnsi="Times New Roman" w:cs="Times New Roman"/>
                <w:color w:val="000000" w:themeColor="text1"/>
                <w:sz w:val="28"/>
                <w:szCs w:val="28"/>
              </w:rPr>
              <w:t>±2,4</w:t>
            </w:r>
          </w:p>
        </w:tc>
        <w:tc>
          <w:tcPr>
            <w:tcW w:w="2357" w:type="dxa"/>
          </w:tcPr>
          <w:p w:rsidR="00D01C4D" w:rsidRPr="00D01C4D" w:rsidRDefault="00D01C4D" w:rsidP="00D01C4D">
            <w:pPr>
              <w:keepNext/>
              <w:widowControl w:val="0"/>
              <w:spacing w:line="216" w:lineRule="auto"/>
              <w:jc w:val="center"/>
              <w:rPr>
                <w:rFonts w:ascii="Times New Roman" w:hAnsi="Times New Roman" w:cs="Times New Roman"/>
                <w:color w:val="000000" w:themeColor="text1"/>
                <w:sz w:val="28"/>
                <w:szCs w:val="28"/>
              </w:rPr>
            </w:pPr>
            <w:r w:rsidRPr="00D01C4D">
              <w:rPr>
                <w:rFonts w:ascii="Times New Roman" w:hAnsi="Times New Roman" w:cs="Times New Roman"/>
                <w:color w:val="000000" w:themeColor="text1"/>
                <w:sz w:val="28"/>
                <w:szCs w:val="28"/>
                <w:lang w:val="en-US"/>
              </w:rPr>
              <w:t>1</w:t>
            </w:r>
            <w:r w:rsidRPr="00D01C4D">
              <w:rPr>
                <w:rFonts w:ascii="Times New Roman" w:hAnsi="Times New Roman" w:cs="Times New Roman"/>
                <w:color w:val="000000" w:themeColor="text1"/>
                <w:sz w:val="28"/>
                <w:szCs w:val="28"/>
              </w:rPr>
              <w:t>7</w:t>
            </w:r>
            <w:r w:rsidRPr="00D01C4D">
              <w:rPr>
                <w:rFonts w:ascii="Times New Roman" w:hAnsi="Times New Roman" w:cs="Times New Roman"/>
                <w:color w:val="000000" w:themeColor="text1"/>
                <w:sz w:val="28"/>
                <w:szCs w:val="28"/>
                <w:lang w:val="az-Latn-AZ"/>
              </w:rPr>
              <w:t>,</w:t>
            </w:r>
            <w:r w:rsidRPr="00D01C4D">
              <w:rPr>
                <w:rFonts w:ascii="Times New Roman" w:hAnsi="Times New Roman" w:cs="Times New Roman"/>
                <w:color w:val="000000" w:themeColor="text1"/>
                <w:sz w:val="28"/>
                <w:szCs w:val="28"/>
                <w:lang w:val="en-US"/>
              </w:rPr>
              <w:t>9</w:t>
            </w:r>
            <w:r w:rsidRPr="00D01C4D">
              <w:rPr>
                <w:rFonts w:ascii="Times New Roman" w:hAnsi="Times New Roman" w:cs="Times New Roman"/>
                <w:color w:val="000000" w:themeColor="text1"/>
                <w:sz w:val="28"/>
                <w:szCs w:val="28"/>
              </w:rPr>
              <w:t>±1,8</w:t>
            </w:r>
            <w:r w:rsidRPr="00D01C4D">
              <w:rPr>
                <w:rFonts w:ascii="Times New Roman" w:hAnsi="Times New Roman" w:cs="Times New Roman"/>
                <w:color w:val="000000" w:themeColor="text1"/>
                <w:sz w:val="28"/>
                <w:szCs w:val="28"/>
                <w:lang w:val="en-US"/>
              </w:rPr>
              <w:t xml:space="preserve">*# </w:t>
            </w:r>
          </w:p>
        </w:tc>
      </w:tr>
    </w:tbl>
    <w:p w:rsidR="00E75DE8" w:rsidRPr="00D01C4D" w:rsidRDefault="00E75DE8" w:rsidP="00E75DE8">
      <w:pPr>
        <w:spacing w:after="0" w:line="240" w:lineRule="auto"/>
        <w:jc w:val="both"/>
        <w:rPr>
          <w:rFonts w:ascii="Times New Roman" w:hAnsi="Times New Roman" w:cs="Times New Roman"/>
          <w:sz w:val="6"/>
          <w:szCs w:val="28"/>
        </w:rPr>
      </w:pPr>
    </w:p>
    <w:p w:rsidR="00E75DE8" w:rsidRPr="00D01C4D" w:rsidRDefault="008A73AB" w:rsidP="008A73AB">
      <w:pPr>
        <w:spacing w:after="0" w:line="216" w:lineRule="auto"/>
        <w:jc w:val="both"/>
        <w:rPr>
          <w:rFonts w:ascii="Times New Roman" w:hAnsi="Times New Roman" w:cs="Times New Roman"/>
          <w:i/>
          <w:sz w:val="24"/>
          <w:szCs w:val="28"/>
        </w:rPr>
      </w:pPr>
      <w:r>
        <w:rPr>
          <w:rFonts w:ascii="Times New Roman" w:hAnsi="Times New Roman" w:cs="Times New Roman"/>
          <w:i/>
          <w:sz w:val="24"/>
          <w:szCs w:val="28"/>
        </w:rPr>
        <w:t>Примечание:</w:t>
      </w:r>
      <w:r w:rsidR="00E75DE8" w:rsidRPr="00D01C4D">
        <w:rPr>
          <w:rFonts w:ascii="Times New Roman" w:hAnsi="Times New Roman" w:cs="Times New Roman"/>
          <w:i/>
          <w:sz w:val="24"/>
          <w:szCs w:val="28"/>
        </w:rPr>
        <w:t>* - p&lt;0,05 по сравнению с гр.1  (кр.Манна-Уитни)</w:t>
      </w:r>
      <w:r w:rsidR="00D01C4D">
        <w:rPr>
          <w:rFonts w:ascii="Times New Roman" w:hAnsi="Times New Roman" w:cs="Times New Roman"/>
          <w:i/>
          <w:sz w:val="24"/>
          <w:szCs w:val="28"/>
        </w:rPr>
        <w:t>;</w:t>
      </w:r>
      <w:r>
        <w:rPr>
          <w:rFonts w:ascii="Times New Roman" w:hAnsi="Times New Roman" w:cs="Times New Roman"/>
          <w:i/>
          <w:sz w:val="24"/>
          <w:szCs w:val="28"/>
        </w:rPr>
        <w:t xml:space="preserve"> </w:t>
      </w:r>
      <w:r w:rsidR="00E75DE8" w:rsidRPr="00D01C4D">
        <w:rPr>
          <w:rFonts w:ascii="Times New Roman" w:hAnsi="Times New Roman" w:cs="Times New Roman"/>
          <w:i/>
          <w:sz w:val="24"/>
          <w:szCs w:val="28"/>
        </w:rPr>
        <w:t># - p&lt;0,05 по сравнению с гр.2  (кр.Манна-Уитни)</w:t>
      </w:r>
      <w:r w:rsidR="00D01C4D">
        <w:rPr>
          <w:rFonts w:ascii="Times New Roman" w:hAnsi="Times New Roman" w:cs="Times New Roman"/>
          <w:i/>
          <w:sz w:val="24"/>
          <w:szCs w:val="28"/>
        </w:rPr>
        <w:t>.</w:t>
      </w:r>
    </w:p>
    <w:p w:rsidR="00E75DE8" w:rsidRPr="00D01C4D" w:rsidRDefault="00E75DE8" w:rsidP="00D01C4D">
      <w:pPr>
        <w:spacing w:after="0" w:line="216" w:lineRule="auto"/>
        <w:jc w:val="both"/>
        <w:rPr>
          <w:rFonts w:ascii="Times New Roman" w:hAnsi="Times New Roman" w:cs="Times New Roman"/>
          <w:sz w:val="16"/>
          <w:szCs w:val="28"/>
        </w:rPr>
      </w:pPr>
    </w:p>
    <w:p w:rsidR="00102329" w:rsidRPr="00AC544D" w:rsidRDefault="00E75DE8" w:rsidP="00AC544D">
      <w:pPr>
        <w:spacing w:after="0" w:line="235" w:lineRule="auto"/>
        <w:ind w:firstLine="709"/>
        <w:jc w:val="both"/>
        <w:rPr>
          <w:rFonts w:ascii="Times New Roman" w:hAnsi="Times New Roman" w:cs="Times New Roman"/>
          <w:spacing w:val="-6"/>
          <w:sz w:val="28"/>
          <w:szCs w:val="28"/>
        </w:rPr>
      </w:pPr>
      <w:r w:rsidRPr="00D01C4D">
        <w:rPr>
          <w:rFonts w:ascii="Times New Roman" w:hAnsi="Times New Roman" w:cs="Times New Roman"/>
          <w:spacing w:val="-6"/>
          <w:sz w:val="28"/>
          <w:szCs w:val="28"/>
        </w:rPr>
        <w:t>Уровни Ig М существенно не различались в  обследованных</w:t>
      </w:r>
      <w:r w:rsidR="00B027B1">
        <w:rPr>
          <w:rFonts w:ascii="Times New Roman" w:hAnsi="Times New Roman" w:cs="Times New Roman"/>
          <w:spacing w:val="-6"/>
          <w:sz w:val="28"/>
          <w:szCs w:val="28"/>
        </w:rPr>
        <w:t xml:space="preserve">. Концентрации Ig G </w:t>
      </w:r>
      <w:r w:rsidRPr="00D01C4D">
        <w:rPr>
          <w:rFonts w:ascii="Times New Roman" w:hAnsi="Times New Roman" w:cs="Times New Roman"/>
          <w:spacing w:val="-6"/>
          <w:sz w:val="28"/>
          <w:szCs w:val="28"/>
        </w:rPr>
        <w:t>у обследуемых третьей группы была достоверно выш</w:t>
      </w:r>
      <w:r w:rsidR="001353CE">
        <w:rPr>
          <w:rFonts w:ascii="Times New Roman" w:hAnsi="Times New Roman" w:cs="Times New Roman"/>
          <w:spacing w:val="-6"/>
          <w:sz w:val="28"/>
          <w:szCs w:val="28"/>
        </w:rPr>
        <w:t>е (p&lt;0,05), чем в группах 1 и 2, что еще раз говорит о наличии активного иммунного ответа и развития аллергических процессов.</w:t>
      </w:r>
      <w:r w:rsidR="00CF514E">
        <w:rPr>
          <w:rFonts w:ascii="Times New Roman" w:hAnsi="Times New Roman" w:cs="Times New Roman"/>
          <w:spacing w:val="-6"/>
          <w:sz w:val="28"/>
          <w:szCs w:val="28"/>
        </w:rPr>
        <w:t xml:space="preserve"> </w:t>
      </w:r>
      <w:r w:rsidRPr="00D01C4D">
        <w:rPr>
          <w:rFonts w:ascii="Times New Roman" w:hAnsi="Times New Roman" w:cs="Times New Roman"/>
          <w:spacing w:val="-6"/>
          <w:sz w:val="28"/>
          <w:szCs w:val="28"/>
        </w:rPr>
        <w:t>Анализ ко</w:t>
      </w:r>
      <w:r w:rsidR="001353CE">
        <w:rPr>
          <w:rFonts w:ascii="Times New Roman" w:hAnsi="Times New Roman" w:cs="Times New Roman"/>
          <w:spacing w:val="-6"/>
          <w:sz w:val="28"/>
          <w:szCs w:val="28"/>
        </w:rPr>
        <w:t xml:space="preserve">нцентрации Ig E общего показал, что </w:t>
      </w:r>
      <w:r w:rsidRPr="00D01C4D">
        <w:rPr>
          <w:rFonts w:ascii="Times New Roman" w:hAnsi="Times New Roman" w:cs="Times New Roman"/>
          <w:spacing w:val="-6"/>
          <w:sz w:val="28"/>
          <w:szCs w:val="28"/>
        </w:rPr>
        <w:t>у обследу</w:t>
      </w:r>
      <w:r w:rsidR="001353CE">
        <w:rPr>
          <w:rFonts w:ascii="Times New Roman" w:hAnsi="Times New Roman" w:cs="Times New Roman"/>
          <w:spacing w:val="-6"/>
          <w:sz w:val="28"/>
          <w:szCs w:val="28"/>
        </w:rPr>
        <w:t xml:space="preserve">емых второй группы </w:t>
      </w:r>
      <w:r w:rsidRPr="00D01C4D">
        <w:rPr>
          <w:rFonts w:ascii="Times New Roman" w:hAnsi="Times New Roman" w:cs="Times New Roman"/>
          <w:spacing w:val="-6"/>
          <w:sz w:val="28"/>
          <w:szCs w:val="28"/>
        </w:rPr>
        <w:t xml:space="preserve">было статистически значимо выше (p&lt;0,05), чем в контроле (рисунок 3.7.5).  </w:t>
      </w:r>
      <w:r w:rsidR="00102329" w:rsidRPr="00E75DE8">
        <w:rPr>
          <w:rFonts w:ascii="Times New Roman" w:hAnsi="Times New Roman" w:cs="Times New Roman"/>
          <w:sz w:val="28"/>
          <w:szCs w:val="28"/>
        </w:rPr>
        <w:t>Рисунок 3.7.5 ‒ Количество IgE и ЦИК</w:t>
      </w:r>
      <w:r w:rsidR="00102329">
        <w:rPr>
          <w:rFonts w:ascii="Times New Roman" w:hAnsi="Times New Roman" w:cs="Times New Roman"/>
          <w:sz w:val="28"/>
          <w:szCs w:val="28"/>
        </w:rPr>
        <w:t>.</w:t>
      </w:r>
    </w:p>
    <w:p w:rsidR="00102329" w:rsidRDefault="00AC544D" w:rsidP="00102329">
      <w:pPr>
        <w:spacing w:after="0" w:line="235" w:lineRule="auto"/>
        <w:ind w:firstLine="709"/>
        <w:jc w:val="both"/>
        <w:rPr>
          <w:rFonts w:ascii="Times New Roman" w:hAnsi="Times New Roman" w:cs="Times New Roman"/>
          <w:spacing w:val="-6"/>
          <w:sz w:val="28"/>
          <w:szCs w:val="28"/>
        </w:rPr>
      </w:pPr>
      <w:r>
        <w:rPr>
          <w:noProof/>
          <w:sz w:val="28"/>
          <w:szCs w:val="28"/>
          <w:lang w:eastAsia="ru-RU"/>
        </w:rPr>
        <w:drawing>
          <wp:inline distT="0" distB="0" distL="114300" distR="114300" wp14:anchorId="59A74743" wp14:editId="0165B3C1">
            <wp:extent cx="5543550" cy="1212850"/>
            <wp:effectExtent l="0" t="0" r="0" b="635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329" w:rsidRDefault="00102329" w:rsidP="00AC544D">
      <w:pPr>
        <w:spacing w:after="0" w:line="240" w:lineRule="auto"/>
        <w:jc w:val="both"/>
        <w:rPr>
          <w:rFonts w:ascii="Times New Roman" w:hAnsi="Times New Roman" w:cs="Times New Roman"/>
          <w:sz w:val="28"/>
          <w:szCs w:val="28"/>
        </w:rPr>
      </w:pPr>
      <w:r w:rsidRPr="00102329">
        <w:rPr>
          <w:rFonts w:ascii="Times New Roman" w:hAnsi="Times New Roman" w:cs="Times New Roman"/>
          <w:sz w:val="28"/>
          <w:szCs w:val="28"/>
        </w:rPr>
        <w:lastRenderedPageBreak/>
        <w:t>Величина уровня этого иммуноглобулина была наибольшей в третьей группе, чем в группах 1 и 2. Загрязнители воздуха стимулируя иммунный ответ через Ig E, активируя аллергические процессы, могут повышать риск развития аллергических заболеваний.</w:t>
      </w:r>
      <w:r w:rsidR="00D46A87">
        <w:rPr>
          <w:rFonts w:ascii="Times New Roman" w:hAnsi="Times New Roman" w:cs="Times New Roman"/>
          <w:sz w:val="28"/>
          <w:szCs w:val="28"/>
        </w:rPr>
        <w:t xml:space="preserve"> </w:t>
      </w:r>
      <w:r w:rsidRPr="00102329">
        <w:rPr>
          <w:rFonts w:ascii="Times New Roman" w:hAnsi="Times New Roman" w:cs="Times New Roman"/>
          <w:sz w:val="28"/>
          <w:szCs w:val="28"/>
        </w:rPr>
        <w:t>Уровень циркулирующих иммунных комплексов у обследуемых в группе 2 был статистически значимо выше (p&lt;0,05) контрольного уровня. В третьей группе уровень ЦИК составил 174,9±15,4 Ед/мл, величина этого показателя статистически значимо (p&lt;0,05) превышала таковые в группах 1 и 2. Повышение уровня ЦИК так же свидетельствует о различных патологических процессах: активации иммунной системы, повышения риска развития аутоиммунных заболеваний и др.</w:t>
      </w:r>
    </w:p>
    <w:p w:rsidR="00E75DE8" w:rsidRDefault="00D46A87" w:rsidP="00D01C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цитокинового профиля. Анализ</w:t>
      </w:r>
      <w:r w:rsidRPr="00E75DE8">
        <w:rPr>
          <w:rFonts w:ascii="Times New Roman" w:hAnsi="Times New Roman" w:cs="Times New Roman"/>
          <w:sz w:val="28"/>
          <w:szCs w:val="28"/>
        </w:rPr>
        <w:t xml:space="preserve"> </w:t>
      </w:r>
      <w:r w:rsidR="00E75DE8" w:rsidRPr="00E75DE8">
        <w:rPr>
          <w:rFonts w:ascii="Times New Roman" w:hAnsi="Times New Roman" w:cs="Times New Roman"/>
          <w:sz w:val="28"/>
          <w:szCs w:val="28"/>
        </w:rPr>
        <w:t>инфтерферона-гамма (ИНФ-γ)</w:t>
      </w:r>
      <w:r>
        <w:rPr>
          <w:rFonts w:ascii="Times New Roman" w:hAnsi="Times New Roman" w:cs="Times New Roman"/>
          <w:sz w:val="28"/>
          <w:szCs w:val="28"/>
        </w:rPr>
        <w:t xml:space="preserve"> показан на рисунке 3.7.6. </w:t>
      </w:r>
      <w:r w:rsidR="003C7DB3">
        <w:rPr>
          <w:rFonts w:ascii="Times New Roman" w:hAnsi="Times New Roman" w:cs="Times New Roman"/>
          <w:sz w:val="28"/>
          <w:szCs w:val="28"/>
        </w:rPr>
        <w:t xml:space="preserve">Участвуя в регуляции воспалительного ответа, превышение </w:t>
      </w:r>
      <w:r w:rsidR="003C7DB3" w:rsidRPr="003C7DB3">
        <w:rPr>
          <w:rFonts w:ascii="Times New Roman" w:hAnsi="Times New Roman" w:cs="Times New Roman"/>
          <w:sz w:val="28"/>
          <w:szCs w:val="28"/>
        </w:rPr>
        <w:t>ИНФ-γ</w:t>
      </w:r>
      <w:r w:rsidR="003C7DB3">
        <w:rPr>
          <w:rFonts w:ascii="Times New Roman" w:hAnsi="Times New Roman" w:cs="Times New Roman"/>
          <w:sz w:val="28"/>
          <w:szCs w:val="28"/>
        </w:rPr>
        <w:t xml:space="preserve"> говорит о наличи</w:t>
      </w:r>
      <w:r w:rsidR="00145095">
        <w:rPr>
          <w:rFonts w:ascii="Times New Roman" w:hAnsi="Times New Roman" w:cs="Times New Roman"/>
          <w:sz w:val="28"/>
          <w:szCs w:val="28"/>
        </w:rPr>
        <w:t>и</w:t>
      </w:r>
      <w:r w:rsidR="003C7DB3">
        <w:rPr>
          <w:rFonts w:ascii="Times New Roman" w:hAnsi="Times New Roman" w:cs="Times New Roman"/>
          <w:sz w:val="28"/>
          <w:szCs w:val="28"/>
        </w:rPr>
        <w:t xml:space="preserve"> воспаления в дыхательных путях и попытке самообороны организма с загрязнителями атмосферного воздуха.</w:t>
      </w:r>
    </w:p>
    <w:p w:rsidR="00D01C4D" w:rsidRPr="00D01C4D" w:rsidRDefault="00D01C4D" w:rsidP="00D01C4D">
      <w:pPr>
        <w:spacing w:after="0" w:line="240" w:lineRule="auto"/>
        <w:ind w:firstLine="709"/>
        <w:jc w:val="both"/>
        <w:rPr>
          <w:rFonts w:ascii="Times New Roman" w:hAnsi="Times New Roman" w:cs="Times New Roman"/>
          <w:sz w:val="1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882"/>
      </w:tblGrid>
      <w:tr w:rsidR="00D01C4D" w:rsidTr="00D01C4D">
        <w:tc>
          <w:tcPr>
            <w:tcW w:w="4927" w:type="dxa"/>
          </w:tcPr>
          <w:p w:rsidR="00D01C4D" w:rsidRDefault="00D01C4D" w:rsidP="00D01C4D">
            <w:pPr>
              <w:jc w:val="both"/>
              <w:rPr>
                <w:rFonts w:ascii="Times New Roman" w:hAnsi="Times New Roman" w:cs="Times New Roman"/>
                <w:sz w:val="28"/>
                <w:szCs w:val="28"/>
              </w:rPr>
            </w:pPr>
            <w:r>
              <w:rPr>
                <w:noProof/>
                <w:sz w:val="28"/>
                <w:szCs w:val="28"/>
                <w:lang w:eastAsia="ru-RU"/>
              </w:rPr>
              <w:drawing>
                <wp:inline distT="0" distB="0" distL="114300" distR="114300" wp14:anchorId="4443254A" wp14:editId="5EFA6099">
                  <wp:extent cx="3026979" cy="2033752"/>
                  <wp:effectExtent l="0" t="0" r="21590" b="2413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927" w:type="dxa"/>
          </w:tcPr>
          <w:p w:rsidR="00D01C4D" w:rsidRDefault="00D01C4D" w:rsidP="00D01C4D">
            <w:pPr>
              <w:jc w:val="both"/>
              <w:rPr>
                <w:rFonts w:ascii="Times New Roman" w:hAnsi="Times New Roman" w:cs="Times New Roman"/>
                <w:sz w:val="28"/>
                <w:szCs w:val="28"/>
              </w:rPr>
            </w:pPr>
            <w:r>
              <w:rPr>
                <w:noProof/>
                <w:sz w:val="28"/>
                <w:szCs w:val="28"/>
                <w:lang w:eastAsia="ru-RU"/>
              </w:rPr>
              <w:drawing>
                <wp:inline distT="0" distB="0" distL="114300" distR="114300" wp14:anchorId="4658A9D2" wp14:editId="5277A7C4">
                  <wp:extent cx="2965836" cy="2035534"/>
                  <wp:effectExtent l="0" t="0" r="25400" b="22225"/>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01C4D" w:rsidTr="00D01C4D">
        <w:tc>
          <w:tcPr>
            <w:tcW w:w="4927" w:type="dxa"/>
          </w:tcPr>
          <w:p w:rsidR="00D01C4D" w:rsidRPr="00D01C4D" w:rsidRDefault="00D01C4D" w:rsidP="00D01C4D">
            <w:pPr>
              <w:spacing w:before="120"/>
              <w:jc w:val="center"/>
              <w:rPr>
                <w:rFonts w:ascii="Times New Roman" w:hAnsi="Times New Roman" w:cs="Times New Roman"/>
                <w:bCs/>
                <w:color w:val="000000" w:themeColor="text1"/>
                <w:spacing w:val="-6"/>
                <w:sz w:val="28"/>
                <w:szCs w:val="28"/>
              </w:rPr>
            </w:pPr>
            <w:r w:rsidRPr="00D01C4D">
              <w:rPr>
                <w:rFonts w:ascii="Times New Roman" w:hAnsi="Times New Roman" w:cs="Times New Roman"/>
                <w:bCs/>
                <w:color w:val="000000" w:themeColor="text1"/>
                <w:spacing w:val="-6"/>
                <w:sz w:val="28"/>
                <w:szCs w:val="28"/>
              </w:rPr>
              <w:t>Рисунок 3.7.6 ‒ Уровни интерферона-</w:t>
            </w:r>
          </w:p>
          <w:p w:rsidR="00D01C4D" w:rsidRPr="00D01C4D" w:rsidRDefault="00D01C4D" w:rsidP="00D01C4D">
            <w:pPr>
              <w:jc w:val="center"/>
              <w:rPr>
                <w:rFonts w:ascii="Times New Roman" w:hAnsi="Times New Roman" w:cs="Times New Roman"/>
                <w:spacing w:val="-6"/>
                <w:sz w:val="28"/>
                <w:szCs w:val="28"/>
              </w:rPr>
            </w:pPr>
            <w:r w:rsidRPr="00D01C4D">
              <w:rPr>
                <w:rFonts w:ascii="Times New Roman" w:hAnsi="Times New Roman" w:cs="Times New Roman"/>
                <w:bCs/>
                <w:color w:val="000000" w:themeColor="text1"/>
                <w:spacing w:val="-6"/>
                <w:sz w:val="28"/>
                <w:szCs w:val="28"/>
              </w:rPr>
              <w:t>Гамма</w:t>
            </w:r>
            <w:r>
              <w:rPr>
                <w:rFonts w:ascii="Times New Roman" w:hAnsi="Times New Roman" w:cs="Times New Roman"/>
                <w:bCs/>
                <w:color w:val="000000" w:themeColor="text1"/>
                <w:spacing w:val="-6"/>
                <w:sz w:val="28"/>
                <w:szCs w:val="28"/>
              </w:rPr>
              <w:t>.</w:t>
            </w:r>
          </w:p>
        </w:tc>
        <w:tc>
          <w:tcPr>
            <w:tcW w:w="4927" w:type="dxa"/>
          </w:tcPr>
          <w:p w:rsidR="00D01C4D" w:rsidRPr="00D01C4D" w:rsidRDefault="00D01C4D" w:rsidP="00D01C4D">
            <w:pPr>
              <w:spacing w:before="120"/>
              <w:jc w:val="center"/>
              <w:rPr>
                <w:rFonts w:ascii="Times New Roman" w:hAnsi="Times New Roman" w:cs="Times New Roman"/>
                <w:bCs/>
                <w:color w:val="000000" w:themeColor="text1"/>
                <w:spacing w:val="-6"/>
                <w:sz w:val="28"/>
                <w:szCs w:val="28"/>
              </w:rPr>
            </w:pPr>
            <w:r w:rsidRPr="00D01C4D">
              <w:rPr>
                <w:rFonts w:ascii="Times New Roman" w:hAnsi="Times New Roman" w:cs="Times New Roman"/>
                <w:bCs/>
                <w:color w:val="000000" w:themeColor="text1"/>
                <w:spacing w:val="-6"/>
                <w:sz w:val="28"/>
                <w:szCs w:val="28"/>
              </w:rPr>
              <w:t>Рисунок</w:t>
            </w:r>
            <w:r>
              <w:rPr>
                <w:rFonts w:ascii="Times New Roman" w:hAnsi="Times New Roman" w:cs="Times New Roman"/>
                <w:bCs/>
                <w:color w:val="000000" w:themeColor="text1"/>
                <w:spacing w:val="-6"/>
                <w:sz w:val="28"/>
                <w:szCs w:val="28"/>
              </w:rPr>
              <w:t xml:space="preserve"> </w:t>
            </w:r>
            <w:r w:rsidRPr="00D01C4D">
              <w:rPr>
                <w:rFonts w:ascii="Times New Roman" w:hAnsi="Times New Roman" w:cs="Times New Roman"/>
                <w:bCs/>
                <w:color w:val="000000" w:themeColor="text1"/>
                <w:spacing w:val="-6"/>
                <w:sz w:val="28"/>
                <w:szCs w:val="28"/>
              </w:rPr>
              <w:t>3.7.7 ‒Уровни интерлейкина-4</w:t>
            </w:r>
          </w:p>
          <w:p w:rsidR="00D01C4D" w:rsidRPr="00D01C4D" w:rsidRDefault="00D01C4D" w:rsidP="00D01C4D">
            <w:pPr>
              <w:jc w:val="center"/>
              <w:rPr>
                <w:rFonts w:ascii="Times New Roman" w:hAnsi="Times New Roman" w:cs="Times New Roman"/>
                <w:spacing w:val="-6"/>
                <w:sz w:val="28"/>
                <w:szCs w:val="28"/>
              </w:rPr>
            </w:pPr>
            <w:r w:rsidRPr="00D01C4D">
              <w:rPr>
                <w:rFonts w:ascii="Times New Roman" w:hAnsi="Times New Roman" w:cs="Times New Roman"/>
                <w:bCs/>
                <w:color w:val="000000" w:themeColor="text1"/>
                <w:spacing w:val="-6"/>
                <w:sz w:val="28"/>
                <w:szCs w:val="28"/>
              </w:rPr>
              <w:t>в периферической крови обследуемых.</w:t>
            </w:r>
          </w:p>
        </w:tc>
      </w:tr>
    </w:tbl>
    <w:p w:rsidR="00D01C4D" w:rsidRPr="00E75DE8" w:rsidRDefault="00D01C4D" w:rsidP="00D01C4D">
      <w:pPr>
        <w:spacing w:after="0" w:line="240" w:lineRule="auto"/>
        <w:ind w:firstLine="709"/>
        <w:jc w:val="both"/>
        <w:rPr>
          <w:rFonts w:ascii="Times New Roman" w:hAnsi="Times New Roman" w:cs="Times New Roman"/>
          <w:sz w:val="28"/>
          <w:szCs w:val="28"/>
        </w:rPr>
      </w:pPr>
    </w:p>
    <w:p w:rsidR="00E75DE8" w:rsidRPr="00145095" w:rsidRDefault="00E75DE8" w:rsidP="00D01C4D">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Величина концентрации ИЛ-4 у обследуемых 2 и 3 групп его уровень был существенно выше (p&lt;0,05)</w:t>
      </w:r>
      <w:r w:rsidR="003C7DB3">
        <w:rPr>
          <w:rFonts w:ascii="Times New Roman" w:hAnsi="Times New Roman" w:cs="Times New Roman"/>
          <w:sz w:val="28"/>
          <w:szCs w:val="28"/>
        </w:rPr>
        <w:t xml:space="preserve"> по сравнению 1гр. </w:t>
      </w:r>
      <w:r w:rsidRPr="00E75DE8">
        <w:rPr>
          <w:rFonts w:ascii="Times New Roman" w:hAnsi="Times New Roman" w:cs="Times New Roman"/>
          <w:sz w:val="28"/>
          <w:szCs w:val="28"/>
        </w:rPr>
        <w:t xml:space="preserve"> (рисунок 3.7.7). </w:t>
      </w:r>
      <w:r w:rsidR="00145095">
        <w:rPr>
          <w:rFonts w:ascii="Times New Roman" w:hAnsi="Times New Roman" w:cs="Times New Roman"/>
          <w:sz w:val="28"/>
          <w:szCs w:val="28"/>
        </w:rPr>
        <w:t>С</w:t>
      </w:r>
      <w:r w:rsidR="003C7DB3">
        <w:rPr>
          <w:rFonts w:ascii="Times New Roman" w:hAnsi="Times New Roman" w:cs="Times New Roman"/>
          <w:sz w:val="28"/>
          <w:szCs w:val="28"/>
        </w:rPr>
        <w:t xml:space="preserve">тимулируя производство </w:t>
      </w:r>
      <w:r w:rsidR="003C7DB3">
        <w:rPr>
          <w:rFonts w:ascii="Times New Roman" w:hAnsi="Times New Roman" w:cs="Times New Roman"/>
          <w:sz w:val="28"/>
          <w:szCs w:val="28"/>
          <w:lang w:val="en-US"/>
        </w:rPr>
        <w:t>IgE</w:t>
      </w:r>
      <w:r w:rsidR="00145095">
        <w:rPr>
          <w:rFonts w:ascii="Times New Roman" w:hAnsi="Times New Roman" w:cs="Times New Roman"/>
          <w:sz w:val="28"/>
          <w:szCs w:val="28"/>
        </w:rPr>
        <w:t xml:space="preserve">, повышает риск развития аллергических реакций и усиливает воспалительные процессы в дыхательных путях, таким образом </w:t>
      </w:r>
      <w:r w:rsidR="00145095" w:rsidRPr="003C7DB3">
        <w:rPr>
          <w:rFonts w:ascii="Times New Roman" w:hAnsi="Times New Roman" w:cs="Times New Roman"/>
          <w:sz w:val="28"/>
          <w:szCs w:val="28"/>
        </w:rPr>
        <w:t>ИЛ-4</w:t>
      </w:r>
      <w:r w:rsidR="00145095">
        <w:rPr>
          <w:rFonts w:ascii="Times New Roman" w:hAnsi="Times New Roman" w:cs="Times New Roman"/>
          <w:sz w:val="28"/>
          <w:szCs w:val="28"/>
        </w:rPr>
        <w:t xml:space="preserve"> играет ключевую роль в переходе иммунного ответа от воспаления</w:t>
      </w:r>
      <w:r w:rsidR="00C90BB5">
        <w:rPr>
          <w:rFonts w:ascii="Times New Roman" w:hAnsi="Times New Roman" w:cs="Times New Roman"/>
          <w:sz w:val="28"/>
          <w:szCs w:val="28"/>
        </w:rPr>
        <w:t>.</w:t>
      </w:r>
    </w:p>
    <w:p w:rsidR="00D01C4D" w:rsidRPr="00D01C4D" w:rsidRDefault="00694217" w:rsidP="00E75DE8">
      <w:pPr>
        <w:spacing w:after="0" w:line="240" w:lineRule="auto"/>
        <w:jc w:val="both"/>
        <w:rPr>
          <w:rFonts w:ascii="Times New Roman" w:hAnsi="Times New Roman" w:cs="Times New Roman"/>
          <w:sz w:val="18"/>
          <w:szCs w:val="28"/>
        </w:rPr>
      </w:pPr>
      <w:r>
        <w:rPr>
          <w:rFonts w:ascii="Times New Roman" w:hAnsi="Times New Roman" w:cs="Times New Roman"/>
          <w:sz w:val="28"/>
          <w:szCs w:val="28"/>
        </w:rPr>
        <w:t xml:space="preserve">  </w:t>
      </w:r>
      <w:r w:rsidRPr="00694217">
        <w:rPr>
          <w:rFonts w:ascii="Times New Roman" w:hAnsi="Times New Roman" w:cs="Times New Roman"/>
          <w:sz w:val="28"/>
          <w:szCs w:val="28"/>
        </w:rPr>
        <w:t>Уровень интерлейкина-6  составил 12</w:t>
      </w:r>
      <w:r w:rsidR="00C90BB5">
        <w:rPr>
          <w:rFonts w:ascii="Times New Roman" w:hAnsi="Times New Roman" w:cs="Times New Roman"/>
          <w:sz w:val="28"/>
          <w:szCs w:val="28"/>
        </w:rPr>
        <w:t xml:space="preserve">1,7±10,4  пг/мл у обследуемых 3 </w:t>
      </w:r>
      <w:r w:rsidRPr="00694217">
        <w:rPr>
          <w:rFonts w:ascii="Times New Roman" w:hAnsi="Times New Roman" w:cs="Times New Roman"/>
          <w:sz w:val="28"/>
          <w:szCs w:val="28"/>
        </w:rPr>
        <w:t>группы, в то время как во второй группе его значение было достоверно н</w:t>
      </w:r>
      <w:r>
        <w:rPr>
          <w:rFonts w:ascii="Times New Roman" w:hAnsi="Times New Roman" w:cs="Times New Roman"/>
          <w:sz w:val="28"/>
          <w:szCs w:val="28"/>
        </w:rPr>
        <w:t xml:space="preserve">иже (p&lt;0,05) - 96,7±4,8  пг/мл. </w:t>
      </w:r>
      <w:r w:rsidRPr="00694217">
        <w:rPr>
          <w:rFonts w:ascii="Times New Roman" w:hAnsi="Times New Roman" w:cs="Times New Roman"/>
          <w:sz w:val="28"/>
          <w:szCs w:val="28"/>
        </w:rPr>
        <w:t>В 1 группе величина данного параметра составила 74,8±5,6  пг/мл, что было достоверно меньше (p&lt;0,05), чем в группах 2 и 3.</w:t>
      </w:r>
      <w:r w:rsidR="00C90BB5">
        <w:rPr>
          <w:rFonts w:ascii="Times New Roman" w:hAnsi="Times New Roman" w:cs="Times New Roman"/>
          <w:sz w:val="28"/>
          <w:szCs w:val="28"/>
        </w:rPr>
        <w:t xml:space="preserve"> Повышение данного параметра, как одним из ключевых медиаторов воспаления, свидетельствует об активации воспалительных процессов.</w:t>
      </w:r>
    </w:p>
    <w:p w:rsidR="00E75DE8" w:rsidRPr="00E75DE8" w:rsidRDefault="008A73AB" w:rsidP="008A73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5DE8" w:rsidRPr="00E75DE8">
        <w:rPr>
          <w:rFonts w:ascii="Times New Roman" w:hAnsi="Times New Roman" w:cs="Times New Roman"/>
          <w:sz w:val="28"/>
          <w:szCs w:val="28"/>
        </w:rPr>
        <w:t xml:space="preserve">Изучение уровня ИЛ-8 позволило установить, что значение </w:t>
      </w:r>
      <w:r w:rsidR="007D5EFF">
        <w:rPr>
          <w:rFonts w:ascii="Times New Roman" w:hAnsi="Times New Roman" w:cs="Times New Roman"/>
          <w:sz w:val="28"/>
          <w:szCs w:val="28"/>
        </w:rPr>
        <w:t xml:space="preserve">этого показателя составило </w:t>
      </w:r>
      <w:r w:rsidR="00B135F0">
        <w:rPr>
          <w:rFonts w:ascii="Times New Roman" w:hAnsi="Times New Roman" w:cs="Times New Roman"/>
          <w:sz w:val="28"/>
          <w:szCs w:val="28"/>
        </w:rPr>
        <w:t>23,5</w:t>
      </w:r>
      <w:r w:rsidR="007D5EFF">
        <w:rPr>
          <w:rFonts w:ascii="Times New Roman" w:hAnsi="Times New Roman" w:cs="Times New Roman"/>
          <w:sz w:val="28"/>
          <w:szCs w:val="28"/>
        </w:rPr>
        <w:t xml:space="preserve"> </w:t>
      </w:r>
      <w:r w:rsidR="00B135F0">
        <w:rPr>
          <w:rFonts w:ascii="Times New Roman" w:hAnsi="Times New Roman" w:cs="Times New Roman"/>
          <w:sz w:val="28"/>
          <w:szCs w:val="28"/>
        </w:rPr>
        <w:t>±4,5</w:t>
      </w:r>
      <w:r w:rsidR="00E75DE8" w:rsidRPr="00E75DE8">
        <w:rPr>
          <w:rFonts w:ascii="Times New Roman" w:hAnsi="Times New Roman" w:cs="Times New Roman"/>
          <w:sz w:val="28"/>
          <w:szCs w:val="28"/>
        </w:rPr>
        <w:t xml:space="preserve"> пг/мл,  в группах 2 и 3 его уровни</w:t>
      </w:r>
      <w:r w:rsidR="007D5EFF">
        <w:rPr>
          <w:rFonts w:ascii="Times New Roman" w:hAnsi="Times New Roman" w:cs="Times New Roman"/>
          <w:sz w:val="28"/>
          <w:szCs w:val="28"/>
        </w:rPr>
        <w:t xml:space="preserve"> были статистически значимо выше</w:t>
      </w:r>
      <w:r w:rsidR="00B135F0">
        <w:rPr>
          <w:rFonts w:ascii="Times New Roman" w:hAnsi="Times New Roman" w:cs="Times New Roman"/>
          <w:sz w:val="28"/>
          <w:szCs w:val="28"/>
        </w:rPr>
        <w:t xml:space="preserve"> (p&lt;0,05), соответственно,  82,7±5,1 и  65,4±5,5 пг/мл. ИЛ-8 актвируя иммунные клетки, выступая в качестве медиатора воспаления, усиливает воспалительные процессы  в дыхательных путях. </w:t>
      </w:r>
    </w:p>
    <w:p w:rsid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Концентрация ИЛ-17 у обследуемых контрольной группы была на уровне 91,7±3,1 пг/мл,  в то время как в группе 2 значение этого цитокина составила 116,3±10,2 пг/мл, то есть достоверно превышала таковую  (p&lt;0,05) в контроле (рисунок 3.7.10). Уровень данного показателя в группе 2 был несколько ниже, составив  112,4±8,6 пг/мл, но при этом его величина была достоверно ниже (p&lt;0,05) таковой в контроле.</w:t>
      </w:r>
    </w:p>
    <w:p w:rsidR="00B06034" w:rsidRPr="00B06034" w:rsidRDefault="00B06034" w:rsidP="00B06034">
      <w:pPr>
        <w:spacing w:after="0" w:line="240" w:lineRule="auto"/>
        <w:ind w:firstLine="709"/>
        <w:jc w:val="both"/>
        <w:rPr>
          <w:rFonts w:ascii="Times New Roman"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06034" w:rsidTr="00B06034">
        <w:tc>
          <w:tcPr>
            <w:tcW w:w="4927" w:type="dxa"/>
          </w:tcPr>
          <w:p w:rsidR="00B06034" w:rsidRDefault="00B06034" w:rsidP="00B06034">
            <w:pPr>
              <w:jc w:val="center"/>
              <w:rPr>
                <w:rFonts w:ascii="Times New Roman" w:hAnsi="Times New Roman" w:cs="Times New Roman"/>
                <w:sz w:val="28"/>
                <w:szCs w:val="28"/>
              </w:rPr>
            </w:pPr>
            <w:r>
              <w:rPr>
                <w:noProof/>
                <w:sz w:val="28"/>
                <w:szCs w:val="28"/>
                <w:lang w:eastAsia="ru-RU"/>
              </w:rPr>
              <w:drawing>
                <wp:inline distT="0" distB="0" distL="114300" distR="114300" wp14:anchorId="6478E9B5" wp14:editId="0DAAB9A5">
                  <wp:extent cx="2768600" cy="2128520"/>
                  <wp:effectExtent l="0" t="0" r="12700" b="508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6034" w:rsidRDefault="00B06034" w:rsidP="00B06034">
            <w:pPr>
              <w:jc w:val="center"/>
              <w:rPr>
                <w:rFonts w:ascii="Times New Roman" w:hAnsi="Times New Roman" w:cs="Times New Roman"/>
                <w:sz w:val="28"/>
                <w:szCs w:val="28"/>
              </w:rPr>
            </w:pPr>
            <w:r w:rsidRPr="00B06034">
              <w:rPr>
                <w:rFonts w:ascii="Times New Roman" w:hAnsi="Times New Roman" w:cs="Times New Roman"/>
                <w:spacing w:val="-4"/>
                <w:sz w:val="28"/>
                <w:szCs w:val="28"/>
              </w:rPr>
              <w:t>Рисунок 3.7.10 ‒Уровни интерлейкина-17 в периферической крови  обследуемых</w:t>
            </w:r>
            <w:r w:rsidRPr="00E75DE8">
              <w:rPr>
                <w:rFonts w:ascii="Times New Roman" w:hAnsi="Times New Roman" w:cs="Times New Roman"/>
                <w:sz w:val="28"/>
                <w:szCs w:val="28"/>
              </w:rPr>
              <w:t>.</w:t>
            </w:r>
          </w:p>
        </w:tc>
        <w:tc>
          <w:tcPr>
            <w:tcW w:w="4927" w:type="dxa"/>
          </w:tcPr>
          <w:p w:rsidR="00B06034" w:rsidRDefault="00B06034" w:rsidP="00B0603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114300" distR="114300" wp14:anchorId="69A0B034" wp14:editId="54949CBF">
                  <wp:extent cx="2852382" cy="2129051"/>
                  <wp:effectExtent l="0" t="0" r="5715" b="508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6034" w:rsidRDefault="00B06034" w:rsidP="00B06034">
            <w:pPr>
              <w:jc w:val="center"/>
              <w:rPr>
                <w:rFonts w:ascii="Times New Roman" w:hAnsi="Times New Roman" w:cs="Times New Roman"/>
                <w:sz w:val="28"/>
                <w:szCs w:val="28"/>
              </w:rPr>
            </w:pPr>
            <w:r w:rsidRPr="00E75DE8">
              <w:rPr>
                <w:rFonts w:ascii="Times New Roman" w:hAnsi="Times New Roman" w:cs="Times New Roman"/>
                <w:sz w:val="28"/>
                <w:szCs w:val="28"/>
              </w:rPr>
              <w:t>Рисунок 3.7.11 ‒Уровни фактора</w:t>
            </w:r>
            <w:r>
              <w:rPr>
                <w:rFonts w:ascii="Times New Roman" w:hAnsi="Times New Roman" w:cs="Times New Roman"/>
                <w:sz w:val="28"/>
                <w:szCs w:val="28"/>
              </w:rPr>
              <w:t xml:space="preserve"> </w:t>
            </w:r>
            <w:r w:rsidRPr="00E75DE8">
              <w:rPr>
                <w:rFonts w:ascii="Times New Roman" w:hAnsi="Times New Roman" w:cs="Times New Roman"/>
                <w:sz w:val="28"/>
                <w:szCs w:val="28"/>
              </w:rPr>
              <w:t>некроза опухоли-альфа</w:t>
            </w:r>
            <w:r>
              <w:rPr>
                <w:rFonts w:ascii="Times New Roman" w:hAnsi="Times New Roman" w:cs="Times New Roman"/>
                <w:sz w:val="28"/>
                <w:szCs w:val="28"/>
              </w:rPr>
              <w:t>.</w:t>
            </w:r>
          </w:p>
        </w:tc>
      </w:tr>
    </w:tbl>
    <w:p w:rsidR="00B06034" w:rsidRPr="00E75DE8" w:rsidRDefault="00B06034" w:rsidP="00B06034">
      <w:pPr>
        <w:spacing w:after="0" w:line="240" w:lineRule="auto"/>
        <w:ind w:firstLine="709"/>
        <w:jc w:val="both"/>
        <w:rPr>
          <w:rFonts w:ascii="Times New Roman" w:hAnsi="Times New Roman" w:cs="Times New Roman"/>
          <w:sz w:val="28"/>
          <w:szCs w:val="28"/>
        </w:rPr>
      </w:pPr>
    </w:p>
    <w:p w:rsidR="00E75DE8" w:rsidRPr="007B6E3A" w:rsidRDefault="00E75DE8" w:rsidP="00B06034">
      <w:pPr>
        <w:spacing w:after="0" w:line="240" w:lineRule="auto"/>
        <w:ind w:firstLine="709"/>
        <w:jc w:val="both"/>
        <w:rPr>
          <w:rFonts w:ascii="Times New Roman" w:hAnsi="Times New Roman" w:cs="Times New Roman"/>
          <w:spacing w:val="-4"/>
          <w:sz w:val="28"/>
          <w:szCs w:val="28"/>
        </w:rPr>
      </w:pPr>
      <w:r w:rsidRPr="007B6E3A">
        <w:rPr>
          <w:rFonts w:ascii="Times New Roman" w:hAnsi="Times New Roman" w:cs="Times New Roman"/>
          <w:spacing w:val="-4"/>
          <w:sz w:val="28"/>
          <w:szCs w:val="28"/>
        </w:rPr>
        <w:t xml:space="preserve">Уровни ФНО-альфа также существенно различались в </w:t>
      </w:r>
      <w:r w:rsidR="008A73AB">
        <w:rPr>
          <w:rFonts w:ascii="Times New Roman" w:hAnsi="Times New Roman" w:cs="Times New Roman"/>
          <w:spacing w:val="-4"/>
          <w:sz w:val="28"/>
          <w:szCs w:val="28"/>
        </w:rPr>
        <w:t>группах обследованных показан на</w:t>
      </w:r>
      <w:r w:rsidR="00CA0E99">
        <w:rPr>
          <w:rFonts w:ascii="Times New Roman" w:hAnsi="Times New Roman" w:cs="Times New Roman"/>
          <w:spacing w:val="-4"/>
          <w:sz w:val="28"/>
          <w:szCs w:val="28"/>
        </w:rPr>
        <w:t xml:space="preserve"> рис.</w:t>
      </w:r>
      <w:r w:rsidRPr="007B6E3A">
        <w:rPr>
          <w:rFonts w:ascii="Times New Roman" w:hAnsi="Times New Roman" w:cs="Times New Roman"/>
          <w:spacing w:val="-4"/>
          <w:sz w:val="28"/>
          <w:szCs w:val="28"/>
        </w:rPr>
        <w:t>3.7.11</w:t>
      </w:r>
      <w:r w:rsidR="008A73AB">
        <w:rPr>
          <w:rFonts w:ascii="Times New Roman" w:hAnsi="Times New Roman" w:cs="Times New Roman"/>
          <w:spacing w:val="-4"/>
          <w:sz w:val="28"/>
          <w:szCs w:val="28"/>
        </w:rPr>
        <w:t xml:space="preserve">. </w:t>
      </w:r>
      <w:r w:rsidR="00CA0E99">
        <w:rPr>
          <w:rFonts w:ascii="Times New Roman" w:hAnsi="Times New Roman" w:cs="Times New Roman"/>
          <w:spacing w:val="-4"/>
          <w:sz w:val="28"/>
          <w:szCs w:val="28"/>
        </w:rPr>
        <w:t xml:space="preserve">Данные показатели могут свидетельствовать об активации воспаления, окислительного стресса в клетках дыхательных путей, повреждение эпителиальных клеток, переход в хроническое воспаление.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Оценка показателей неспецифической резистентности у обследуемых жителей различных регионов Кыргызской Республики показала, что  значения показателя спонтанного НСТ-теста у них составили в группе 1 - 13,83±1,7 %, у лиц второй  группы величина этого параметра была статистически значимо выше (p&lt;0,05)  - 27,2±2,8%, в третьей группе  величина этого показателя составила 21,3±2,0%, что было статистически значимо больше (p&lt;0,05), чем в обеих остальных группах.</w:t>
      </w:r>
      <w:r w:rsidR="00620F79">
        <w:rPr>
          <w:rFonts w:ascii="Times New Roman" w:hAnsi="Times New Roman" w:cs="Times New Roman"/>
          <w:sz w:val="28"/>
          <w:szCs w:val="28"/>
        </w:rPr>
        <w:t xml:space="preserve"> Это свидетельствует о </w:t>
      </w:r>
      <w:r w:rsidR="00CA0E99">
        <w:rPr>
          <w:rFonts w:ascii="Times New Roman" w:hAnsi="Times New Roman" w:cs="Times New Roman"/>
          <w:sz w:val="28"/>
          <w:szCs w:val="28"/>
        </w:rPr>
        <w:t>базальной активации нейтрофилов, п</w:t>
      </w:r>
      <w:r w:rsidR="00620F79">
        <w:rPr>
          <w:rFonts w:ascii="Times New Roman" w:hAnsi="Times New Roman" w:cs="Times New Roman"/>
          <w:sz w:val="28"/>
          <w:szCs w:val="28"/>
        </w:rPr>
        <w:t xml:space="preserve">овышения окислительного стресса, следовательно наличие хронического  воспаления.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Сравнение показателей активированного НСТ-теста достоверно не различались.</w:t>
      </w:r>
    </w:p>
    <w:p w:rsidR="007B6E3A"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Уровень фагоцитарного индекса составил 72,8±1,5 % у обследуемых группы 1, в группах 2 и 3  значение данного показателя было статистически значимо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ниже,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чем</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в</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контроле</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(p&lt;0,05),</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составив</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соответственно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62,2±4,6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и </w:t>
      </w:r>
    </w:p>
    <w:p w:rsidR="00E75DE8" w:rsidRPr="00E75DE8" w:rsidRDefault="00E75DE8" w:rsidP="007B6E3A">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58,9±5,9%. Значение коэффициента киллинга было на уровне 41,3±4,4% в группе 1, тогда как в  группах 2 и 3 величина показателя была достоверно ниже (p&lt;0,05) относительно контрольного значения, составляя 16,5±3,1 и 13,0±3,9%.</w:t>
      </w:r>
      <w:r w:rsidR="00CA0E99">
        <w:rPr>
          <w:rFonts w:ascii="Times New Roman" w:hAnsi="Times New Roman" w:cs="Times New Roman"/>
          <w:sz w:val="28"/>
          <w:szCs w:val="28"/>
        </w:rPr>
        <w:t xml:space="preserve"> Эти данные свидетельствуют </w:t>
      </w:r>
      <w:r w:rsidR="00620F79">
        <w:rPr>
          <w:rFonts w:ascii="Times New Roman" w:hAnsi="Times New Roman" w:cs="Times New Roman"/>
          <w:sz w:val="28"/>
          <w:szCs w:val="28"/>
        </w:rPr>
        <w:t>об ослаблении иммунной системы.</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Оценка концентраций С-реактивного белка в плазме крови обследуемых лиц показала, что если у обследуемых группы 1 его значение было на уровне 4,6±0,3 мг/мл,  во второй и третьей группах уровни СРБ достоверно превышали (p&lt;0,05) контрольное значение, составив соответственно 14,3±3,2 и 11,4±1,3 мг/мл. </w:t>
      </w:r>
      <w:r w:rsidR="00620F79">
        <w:rPr>
          <w:rFonts w:ascii="Times New Roman" w:hAnsi="Times New Roman" w:cs="Times New Roman"/>
          <w:sz w:val="28"/>
          <w:szCs w:val="28"/>
        </w:rPr>
        <w:t xml:space="preserve">Являясь белком острой фазы, свидетельствует об активации воспалительного процесса.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t>3.8. Изучение качества жизни</w:t>
      </w:r>
      <w:r w:rsidRPr="00E75DE8">
        <w:rPr>
          <w:rFonts w:ascii="Times New Roman" w:hAnsi="Times New Roman" w:cs="Times New Roman"/>
          <w:sz w:val="28"/>
          <w:szCs w:val="28"/>
        </w:rPr>
        <w:t xml:space="preserve"> обследуемых лиц свидетельствовало о том, что  большинство параметров опросника SF-36 у обследуемых групп 2 и 3  были существенно снижены по сравнению с таковыми у обследуемых контрольной группы.</w:t>
      </w:r>
    </w:p>
    <w:p w:rsidR="00E75DE8" w:rsidRPr="00E75DE8" w:rsidRDefault="001353CE" w:rsidP="00B0603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3.9. Определение </w:t>
      </w:r>
      <w:r w:rsidR="00E75DE8" w:rsidRPr="00B06034">
        <w:rPr>
          <w:rFonts w:ascii="Times New Roman" w:hAnsi="Times New Roman" w:cs="Times New Roman"/>
          <w:b/>
          <w:sz w:val="28"/>
          <w:szCs w:val="28"/>
        </w:rPr>
        <w:t xml:space="preserve"> прогностических факторов. </w:t>
      </w:r>
      <w:r w:rsidR="00E75DE8" w:rsidRPr="00E75DE8">
        <w:rPr>
          <w:rFonts w:ascii="Times New Roman" w:hAnsi="Times New Roman" w:cs="Times New Roman"/>
          <w:sz w:val="28"/>
          <w:szCs w:val="28"/>
        </w:rPr>
        <w:t>На заключительном этапе работы был выполнен поиск прогностических факторов  развития заболеваний дыхательной системы с помощью многофакторного регрессионного анализа. Установлено, что в качестве маркеров прогноза развития  аллергического ринита можно рассматривать такие иммунологические показатели, как  относительное количество в периферической крови CD3+ (Т-лимфоцитов-общих),  CD4+ (Т-лимфоцитов-хелперов)  и  CD8+ лимфоцитов (цитотоксических),  уровень Ig G, концентрацию ИНФ-γ, ИЛ-6, ИЛ-8,  ФНО-альфа, фагоцитарный индекс,</w:t>
      </w:r>
      <w:r w:rsidR="00590A22">
        <w:rPr>
          <w:rFonts w:ascii="Times New Roman" w:hAnsi="Times New Roman" w:cs="Times New Roman"/>
          <w:sz w:val="28"/>
          <w:szCs w:val="28"/>
        </w:rPr>
        <w:t xml:space="preserve">  уровень  С-реактивного белка.</w:t>
      </w:r>
      <w:r w:rsidR="00E75DE8" w:rsidRPr="00E75DE8">
        <w:rPr>
          <w:rFonts w:ascii="Times New Roman" w:hAnsi="Times New Roman" w:cs="Times New Roman"/>
          <w:sz w:val="28"/>
          <w:szCs w:val="28"/>
        </w:rPr>
        <w:t xml:space="preserve">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Также выполненный с помощью многофакторного регрессионного анализа поиск факторов, которые вносят значимый вклад в развитие у обследуемых лиц  бронхиальной астмы, что к таковым могут быть отнесены следующие иммунологические показатели: количество CD3+  и  CD4+ лимфоцитов, концентрации иммуноглобулинов Ig G и  Ig E, уровни ЦИК, концентрации интерлейкинов ИЛ-4, ИЛ-6, ИЛ-8, ИЛ-17, ФНО-альфа,  С-реактивного белка</w:t>
      </w:r>
    </w:p>
    <w:p w:rsidR="007B6E3A"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 В целом полученные данные свидетельствовали о том, что у лиц, проживающих в различных районах Кыргызской Республики с различающейся степенью атмосферного загрязнения, наблюдаются существенные</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различия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по </w:t>
      </w:r>
    </w:p>
    <w:p w:rsidR="00E75DE8" w:rsidRPr="00E75DE8" w:rsidRDefault="00E75DE8" w:rsidP="007B6E3A">
      <w:pPr>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показателям жалоб, свидетельствующих о патологии верхних дыхательных путей и аллергизации организма. У них наблюдаются </w:t>
      </w:r>
      <w:r w:rsidR="00590A22">
        <w:rPr>
          <w:rFonts w:ascii="Times New Roman" w:hAnsi="Times New Roman" w:cs="Times New Roman"/>
          <w:sz w:val="28"/>
          <w:szCs w:val="28"/>
        </w:rPr>
        <w:t xml:space="preserve">разница </w:t>
      </w:r>
      <w:r w:rsidRPr="00E75DE8">
        <w:rPr>
          <w:rFonts w:ascii="Times New Roman" w:hAnsi="Times New Roman" w:cs="Times New Roman"/>
          <w:sz w:val="28"/>
          <w:szCs w:val="28"/>
        </w:rPr>
        <w:t xml:space="preserve">показателей </w:t>
      </w:r>
      <w:r w:rsidR="00590A22">
        <w:rPr>
          <w:rFonts w:ascii="Times New Roman" w:hAnsi="Times New Roman" w:cs="Times New Roman"/>
          <w:sz w:val="28"/>
          <w:szCs w:val="28"/>
        </w:rPr>
        <w:t xml:space="preserve">между исследуемыми группами в </w:t>
      </w:r>
      <w:r w:rsidRPr="00E75DE8">
        <w:rPr>
          <w:rFonts w:ascii="Times New Roman" w:hAnsi="Times New Roman" w:cs="Times New Roman"/>
          <w:sz w:val="28"/>
          <w:szCs w:val="28"/>
        </w:rPr>
        <w:t xml:space="preserve">инструментальных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и</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лабораторных</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исследований,</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в</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частности показателей функции внешнего дыхания, </w:t>
      </w:r>
      <w:r w:rsidRPr="00E75DE8">
        <w:rPr>
          <w:rFonts w:ascii="Times New Roman" w:hAnsi="Times New Roman" w:cs="Times New Roman"/>
          <w:sz w:val="28"/>
          <w:szCs w:val="28"/>
        </w:rPr>
        <w:lastRenderedPageBreak/>
        <w:t xml:space="preserve">показателей общего анализа крови, коагулограммы, иммунного статуса, показателей выраженности воспаления. </w:t>
      </w:r>
      <w:r w:rsidR="00590A22">
        <w:rPr>
          <w:rFonts w:ascii="Times New Roman" w:hAnsi="Times New Roman" w:cs="Times New Roman"/>
          <w:sz w:val="28"/>
          <w:szCs w:val="28"/>
        </w:rPr>
        <w:t xml:space="preserve">Превышение этих данных </w:t>
      </w:r>
      <w:r w:rsidRPr="00E75DE8">
        <w:rPr>
          <w:rFonts w:ascii="Times New Roman" w:hAnsi="Times New Roman" w:cs="Times New Roman"/>
          <w:sz w:val="28"/>
          <w:szCs w:val="28"/>
        </w:rPr>
        <w:t xml:space="preserve">характерны для лиц, проживающих в районе цементного завода и  условиях высокой плотности трафика. </w:t>
      </w:r>
    </w:p>
    <w:p w:rsidR="00E75DE8" w:rsidRPr="00B06034" w:rsidRDefault="00E75DE8" w:rsidP="00B06034">
      <w:pPr>
        <w:spacing w:after="0" w:line="240" w:lineRule="auto"/>
        <w:ind w:firstLine="709"/>
        <w:jc w:val="both"/>
        <w:rPr>
          <w:rFonts w:ascii="Times New Roman" w:hAnsi="Times New Roman" w:cs="Times New Roman"/>
          <w:b/>
          <w:sz w:val="28"/>
          <w:szCs w:val="28"/>
        </w:rPr>
      </w:pPr>
      <w:r w:rsidRPr="00B06034">
        <w:rPr>
          <w:rFonts w:ascii="Times New Roman" w:hAnsi="Times New Roman" w:cs="Times New Roman"/>
          <w:b/>
          <w:sz w:val="28"/>
          <w:szCs w:val="28"/>
        </w:rPr>
        <w:t>3.10.</w:t>
      </w:r>
      <w:r w:rsidR="00B06034">
        <w:rPr>
          <w:rFonts w:ascii="Times New Roman" w:hAnsi="Times New Roman" w:cs="Times New Roman"/>
          <w:b/>
          <w:sz w:val="28"/>
          <w:szCs w:val="28"/>
        </w:rPr>
        <w:t xml:space="preserve"> </w:t>
      </w:r>
      <w:r w:rsidRPr="00B06034">
        <w:rPr>
          <w:rFonts w:ascii="Times New Roman" w:hAnsi="Times New Roman" w:cs="Times New Roman"/>
          <w:b/>
          <w:sz w:val="28"/>
          <w:szCs w:val="28"/>
        </w:rPr>
        <w:t>Результаты экспериментальной работы.</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При воздействии пыли на дыхательную систему животных патологический процесс возникает одновременно и развивается параллельн</w:t>
      </w:r>
      <w:r w:rsidR="00590A22">
        <w:rPr>
          <w:rFonts w:ascii="Times New Roman" w:hAnsi="Times New Roman" w:cs="Times New Roman"/>
          <w:sz w:val="28"/>
          <w:szCs w:val="28"/>
        </w:rPr>
        <w:t>о во всех легочных структурах. При воздействии</w:t>
      </w:r>
      <w:r w:rsidRPr="00E75DE8">
        <w:rPr>
          <w:rFonts w:ascii="Times New Roman" w:hAnsi="Times New Roman" w:cs="Times New Roman"/>
          <w:sz w:val="28"/>
          <w:szCs w:val="28"/>
        </w:rPr>
        <w:t xml:space="preserve"> пыли образуется   перибронхиальный фиброз в бронхах животных.</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Под воздей</w:t>
      </w:r>
      <w:r w:rsidR="00620F79">
        <w:rPr>
          <w:rFonts w:ascii="Times New Roman" w:hAnsi="Times New Roman" w:cs="Times New Roman"/>
          <w:sz w:val="28"/>
          <w:szCs w:val="28"/>
        </w:rPr>
        <w:t>ствием выхлопного газа в легких</w:t>
      </w:r>
      <w:r w:rsidRPr="00E75DE8">
        <w:rPr>
          <w:rFonts w:ascii="Times New Roman" w:hAnsi="Times New Roman" w:cs="Times New Roman"/>
          <w:sz w:val="28"/>
          <w:szCs w:val="28"/>
        </w:rPr>
        <w:t xml:space="preserve"> животных образуются очаговая инфильтрация межальвеолярных перегородок с набуханием альвеолярного эпителия и скопления макрофагов в просветах альвеол, а также гипертрофия ГМК слоя. По результатам эксперимента, так же доказывается патологическое воздействие выхлопных газов и пыли на органы дыхания животных, где можно четко и ясно просмотреть явления гипоксии, воспаления и фиброза . Где в основе патогенеза воспалительных заболеваний легких лежат как раз таки вышеперечисленные патологические процессы.</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E75DE8" w:rsidRDefault="00E75DE8" w:rsidP="00E75DE8">
      <w:pPr>
        <w:spacing w:after="0" w:line="240" w:lineRule="auto"/>
        <w:jc w:val="both"/>
        <w:rPr>
          <w:rFonts w:ascii="Times New Roman" w:hAnsi="Times New Roman" w:cs="Times New Roman"/>
          <w:sz w:val="28"/>
          <w:szCs w:val="28"/>
        </w:rPr>
      </w:pPr>
    </w:p>
    <w:p w:rsidR="00E75DE8" w:rsidRPr="00B06034" w:rsidRDefault="00E75DE8" w:rsidP="00E75DE8">
      <w:pPr>
        <w:spacing w:after="0" w:line="240" w:lineRule="auto"/>
        <w:jc w:val="both"/>
        <w:rPr>
          <w:rFonts w:ascii="Times New Roman" w:hAnsi="Times New Roman" w:cs="Times New Roman"/>
          <w:b/>
          <w:sz w:val="28"/>
          <w:szCs w:val="28"/>
        </w:rPr>
      </w:pPr>
      <w:r w:rsidRPr="00B06034">
        <w:rPr>
          <w:rFonts w:ascii="Times New Roman" w:hAnsi="Times New Roman" w:cs="Times New Roman"/>
          <w:b/>
          <w:sz w:val="28"/>
          <w:szCs w:val="28"/>
        </w:rPr>
        <w:t xml:space="preserve">                                               ЗАКЛЮЧЕНИЕ:</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7B6E3A" w:rsidRDefault="00E75DE8" w:rsidP="00B06034">
      <w:pPr>
        <w:tabs>
          <w:tab w:val="left" w:pos="993"/>
        </w:tabs>
        <w:spacing w:after="0" w:line="240" w:lineRule="auto"/>
        <w:ind w:firstLine="709"/>
        <w:jc w:val="both"/>
        <w:rPr>
          <w:rFonts w:ascii="Times New Roman" w:hAnsi="Times New Roman" w:cs="Times New Roman"/>
          <w:spacing w:val="-6"/>
          <w:sz w:val="28"/>
          <w:szCs w:val="28"/>
        </w:rPr>
      </w:pPr>
      <w:r w:rsidRPr="00E75DE8">
        <w:rPr>
          <w:rFonts w:ascii="Times New Roman" w:hAnsi="Times New Roman" w:cs="Times New Roman"/>
          <w:sz w:val="28"/>
          <w:szCs w:val="28"/>
        </w:rPr>
        <w:t>1.</w:t>
      </w:r>
      <w:r w:rsidRPr="00E75DE8">
        <w:rPr>
          <w:rFonts w:ascii="Times New Roman" w:hAnsi="Times New Roman" w:cs="Times New Roman"/>
          <w:sz w:val="28"/>
          <w:szCs w:val="28"/>
        </w:rPr>
        <w:tab/>
      </w:r>
      <w:r w:rsidRPr="007B6E3A">
        <w:rPr>
          <w:rFonts w:ascii="Times New Roman" w:hAnsi="Times New Roman" w:cs="Times New Roman"/>
          <w:spacing w:val="-6"/>
          <w:sz w:val="28"/>
          <w:szCs w:val="28"/>
        </w:rPr>
        <w:t>Результаты оценки атмосферного воздуха в районе с.Гулбар Араванского района свидетельствуют о существенно превышении предельно допустимых концентраций  всех определяемых загрязнителей: пыли и твердых выбросов (5,5 мг/м3), диоксида сер</w:t>
      </w:r>
      <w:r w:rsidR="00267FF5">
        <w:rPr>
          <w:rFonts w:ascii="Times New Roman" w:hAnsi="Times New Roman" w:cs="Times New Roman"/>
          <w:spacing w:val="-6"/>
          <w:sz w:val="28"/>
          <w:szCs w:val="28"/>
        </w:rPr>
        <w:t>ы (7,0 мг/м3), окиси азота  (0,63</w:t>
      </w:r>
      <w:r w:rsidRPr="007B6E3A">
        <w:rPr>
          <w:rFonts w:ascii="Times New Roman" w:hAnsi="Times New Roman" w:cs="Times New Roman"/>
          <w:spacing w:val="-6"/>
          <w:sz w:val="28"/>
          <w:szCs w:val="28"/>
        </w:rPr>
        <w:t xml:space="preserve"> мг/м3), окиси углерода (7,5 мг/м3). Исследование состава атмосферного воздуха в районе г.Ош  показали превышение ПДК для таких загрязнителей, как уровень пыли и твердых выбросов (4,5 мг/м3),  концентрация диоксида се</w:t>
      </w:r>
      <w:r w:rsidR="00267FF5">
        <w:rPr>
          <w:rFonts w:ascii="Times New Roman" w:hAnsi="Times New Roman" w:cs="Times New Roman"/>
          <w:spacing w:val="-6"/>
          <w:sz w:val="28"/>
          <w:szCs w:val="28"/>
        </w:rPr>
        <w:t>ры (9,5 мг/м3), окись азота (0,7</w:t>
      </w:r>
      <w:r w:rsidRPr="007B6E3A">
        <w:rPr>
          <w:rFonts w:ascii="Times New Roman" w:hAnsi="Times New Roman" w:cs="Times New Roman"/>
          <w:spacing w:val="-6"/>
          <w:sz w:val="28"/>
          <w:szCs w:val="28"/>
        </w:rPr>
        <w:t xml:space="preserve"> мг/м3), окись углерода (8,</w:t>
      </w:r>
      <w:r w:rsidR="00267FF5">
        <w:rPr>
          <w:rFonts w:ascii="Times New Roman" w:hAnsi="Times New Roman" w:cs="Times New Roman"/>
          <w:spacing w:val="-6"/>
          <w:sz w:val="28"/>
          <w:szCs w:val="28"/>
        </w:rPr>
        <w:t>8 мг/м3), двуокись азота  (0,097</w:t>
      </w:r>
      <w:r w:rsidRPr="007B6E3A">
        <w:rPr>
          <w:rFonts w:ascii="Times New Roman" w:hAnsi="Times New Roman" w:cs="Times New Roman"/>
          <w:spacing w:val="-6"/>
          <w:sz w:val="28"/>
          <w:szCs w:val="28"/>
        </w:rPr>
        <w:t xml:space="preserve"> мг/м3).</w:t>
      </w:r>
    </w:p>
    <w:p w:rsidR="007B6E3A" w:rsidRDefault="00E75DE8" w:rsidP="00B06034">
      <w:pPr>
        <w:tabs>
          <w:tab w:val="left" w:pos="993"/>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2.</w:t>
      </w:r>
      <w:r w:rsidRPr="00E75DE8">
        <w:rPr>
          <w:rFonts w:ascii="Times New Roman" w:hAnsi="Times New Roman" w:cs="Times New Roman"/>
          <w:sz w:val="28"/>
          <w:szCs w:val="28"/>
        </w:rPr>
        <w:tab/>
        <w:t>У лиц, проживающих в районах Кыргызской Республики с различающейся степенью атмосферного загрязнения, отмечены выраженные различия по уровням заболеваемости аллергическим ринитом, хроническим бронхитом, бронхиальной астмой и хроническим риносинуситом.  У жителей местностей с высокими уровнями загрязнения воздуха отмечена более высокая частота жалоб на одышку, заложенность носа и кашель, обострений и рецидивов болезней органов дыхания,  повышенная частота госпитализаций для лечения этих заболеваний, а также нарушения функции</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внешнего</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дыхания </w:t>
      </w:r>
    </w:p>
    <w:p w:rsidR="007B6E3A" w:rsidRDefault="00E75DE8" w:rsidP="007B6E3A">
      <w:pPr>
        <w:tabs>
          <w:tab w:val="left" w:pos="993"/>
        </w:tabs>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t xml:space="preserve">и риноманометрии у лиц (снижена показатели проб Штанге и Генчи, повышены показатели частоты дыхания,   минутного объема дыхания,  суммарного сопротивления,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снижены</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величины</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жизненной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емкости</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 легких, </w:t>
      </w:r>
      <w:r w:rsidR="007B6E3A">
        <w:rPr>
          <w:rFonts w:ascii="Times New Roman" w:hAnsi="Times New Roman" w:cs="Times New Roman"/>
          <w:sz w:val="28"/>
          <w:szCs w:val="28"/>
        </w:rPr>
        <w:t xml:space="preserve"> </w:t>
      </w:r>
      <w:r w:rsidRPr="00E75DE8">
        <w:rPr>
          <w:rFonts w:ascii="Times New Roman" w:hAnsi="Times New Roman" w:cs="Times New Roman"/>
          <w:sz w:val="28"/>
          <w:szCs w:val="28"/>
        </w:rPr>
        <w:t xml:space="preserve">резервного </w:t>
      </w:r>
    </w:p>
    <w:p w:rsidR="00E75DE8" w:rsidRPr="00E75DE8" w:rsidRDefault="00E75DE8" w:rsidP="007B6E3A">
      <w:pPr>
        <w:tabs>
          <w:tab w:val="left" w:pos="993"/>
        </w:tabs>
        <w:spacing w:after="0" w:line="240" w:lineRule="auto"/>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объема вдоха, объема форсированного выдоха, суммарного объемного потока. Также у жителей Кыргызской Республики, проживающих в местностях с  повышенным уровнем  загрязнителей в атмосфере, уровень качества жизни  по </w:t>
      </w:r>
      <w:r w:rsidR="00267FF5">
        <w:rPr>
          <w:rFonts w:ascii="Times New Roman" w:hAnsi="Times New Roman" w:cs="Times New Roman"/>
          <w:sz w:val="28"/>
          <w:szCs w:val="28"/>
        </w:rPr>
        <w:t>опроснику</w:t>
      </w:r>
      <w:r w:rsidRPr="00E75DE8">
        <w:rPr>
          <w:rFonts w:ascii="Times New Roman" w:hAnsi="Times New Roman" w:cs="Times New Roman"/>
          <w:sz w:val="28"/>
          <w:szCs w:val="28"/>
        </w:rPr>
        <w:t xml:space="preserve"> SF-36 снижен  по сравнению с обследуемыми контрольной группы, проживающих в более благоприятных условиях, без атмосферных загрязнений.</w:t>
      </w:r>
    </w:p>
    <w:p w:rsidR="00E75DE8" w:rsidRPr="00E75DE8" w:rsidRDefault="00E75DE8" w:rsidP="00B06034">
      <w:pPr>
        <w:tabs>
          <w:tab w:val="left" w:pos="993"/>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3.</w:t>
      </w:r>
      <w:r w:rsidRPr="00E75DE8">
        <w:rPr>
          <w:rFonts w:ascii="Times New Roman" w:hAnsi="Times New Roman" w:cs="Times New Roman"/>
          <w:sz w:val="28"/>
          <w:szCs w:val="28"/>
        </w:rPr>
        <w:tab/>
      </w:r>
      <w:r w:rsidRPr="007B6E3A">
        <w:rPr>
          <w:rFonts w:ascii="Times New Roman" w:hAnsi="Times New Roman" w:cs="Times New Roman"/>
          <w:spacing w:val="6"/>
          <w:sz w:val="28"/>
          <w:szCs w:val="28"/>
        </w:rPr>
        <w:t>У лиц, проживающих на территориях с превышением ПДК уровней загрязняющих атмосферный воздух веществ, наблюдаются изменения клеточного и гуморального звеньев иммунитета. В частности, установлено подавление клеточного звена, проявляющееся снижением количества CD3-лимфоцитов общих, CD4-лимфоцитов -хелперов, CD8-лимфоцитов - цитотоксических,CD16 -NK-клеток и В-лимфоцитов, повышение уровней циркулирующих иммунных комплексов в плазме крови, увеличение содержания ряда цитокинов - интерлейкинов 4, 6, 8, 17, интерферона-γ и фактора некроза опухоли-ɑ,  а также нарушения показателей неспецифической резистентности: увеличение показателей НСТ-теста, коэффициента киллинга и фагоцитарного индекса. При оценке уровней микробиологической обсемененности полости носа и зева у обследуемых пациентов, проживающих в условиях высокой загрязненности атмосферы,  чаще  выявляется микст-флора, при этом превалируют такие возбудители, как  St. Aureus  и Str. Pyogenes, исследование конденсата выдыхаемого воздуха показывает повышенную активность свободнорадикального окисления</w:t>
      </w:r>
      <w:r w:rsidR="007B6E3A">
        <w:rPr>
          <w:rFonts w:ascii="Times New Roman" w:hAnsi="Times New Roman" w:cs="Times New Roman"/>
          <w:spacing w:val="6"/>
          <w:sz w:val="28"/>
          <w:szCs w:val="28"/>
        </w:rPr>
        <w:t>.</w:t>
      </w:r>
    </w:p>
    <w:p w:rsidR="00E75DE8" w:rsidRDefault="00E75DE8" w:rsidP="00B06034">
      <w:pPr>
        <w:tabs>
          <w:tab w:val="left" w:pos="993"/>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4.</w:t>
      </w:r>
      <w:r w:rsidRPr="00E75DE8">
        <w:rPr>
          <w:rFonts w:ascii="Times New Roman" w:hAnsi="Times New Roman" w:cs="Times New Roman"/>
          <w:sz w:val="28"/>
          <w:szCs w:val="28"/>
        </w:rPr>
        <w:tab/>
        <w:t>В качестве маркеров, свидетельствующих о наличии повышенного риска развития аллергического ринита, у лиц, проживающих в условиях загрязненного атмосферного воздуха, могут быть рассмотрены сдвиги таких иммунологических показателей, как относительное количество в периферической крови CD3+ (Т-лимфоцитов-общих), CD4+ (Т-лимфоцитов-хелперов) и CD8+ лимфоцитов (цитотоксических),  уровень иммуноглобулина G, концентрации интерферона-γ, интерлейкинов 6 и 8, фактора некроза опухоли-альфа, фагоцитарного индекса,  уровня  С-реактивного белка. О повышении риска развития бронхиальной астмы у этого контингента лиц могут свидетельствовать изменения следующих иммунологических параметров: количество CD3+  и  CD4+ лимфоцитов, количество CD20+ лимфоцитов, концентрации иммуноглобулинов G и  E, уровни циркулирующих иммунных комплексов, концентрации интерлейкинов 4, 6, 8, 17, фактора некроза опухоли-альфа,  С-реактивного белка.</w:t>
      </w:r>
    </w:p>
    <w:p w:rsidR="00E75DE8" w:rsidRPr="00E75DE8" w:rsidRDefault="005B15EA" w:rsidP="005B15EA">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DE8" w:rsidRPr="00E75DE8">
        <w:rPr>
          <w:rFonts w:ascii="Times New Roman" w:hAnsi="Times New Roman" w:cs="Times New Roman"/>
          <w:sz w:val="28"/>
          <w:szCs w:val="28"/>
        </w:rPr>
        <w:t>5.</w:t>
      </w:r>
      <w:r w:rsidR="00E75DE8" w:rsidRPr="00E75DE8">
        <w:rPr>
          <w:rFonts w:ascii="Times New Roman" w:hAnsi="Times New Roman" w:cs="Times New Roman"/>
          <w:sz w:val="28"/>
          <w:szCs w:val="28"/>
        </w:rPr>
        <w:tab/>
        <w:t>При воздействии пыли на дыхательную систему животных патологический процесс возникает одновременно и развивается параллельно во всех легочных структурах. Воздействие пыли образуется   перибронхиальный фиброз в бронхах животных.</w:t>
      </w:r>
    </w:p>
    <w:p w:rsidR="00E75DE8" w:rsidRPr="00E75DE8" w:rsidRDefault="00E75DE8" w:rsidP="00B06034">
      <w:pPr>
        <w:tabs>
          <w:tab w:val="left" w:pos="993"/>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lastRenderedPageBreak/>
        <w:t xml:space="preserve">Под воздействием выхлопного газа в </w:t>
      </w:r>
      <w:r w:rsidR="00267FF5">
        <w:rPr>
          <w:rFonts w:ascii="Times New Roman" w:hAnsi="Times New Roman" w:cs="Times New Roman"/>
          <w:sz w:val="28"/>
          <w:szCs w:val="28"/>
        </w:rPr>
        <w:t xml:space="preserve">легких </w:t>
      </w:r>
      <w:r w:rsidRPr="00E75DE8">
        <w:rPr>
          <w:rFonts w:ascii="Times New Roman" w:hAnsi="Times New Roman" w:cs="Times New Roman"/>
          <w:sz w:val="28"/>
          <w:szCs w:val="28"/>
        </w:rPr>
        <w:t>животных образуются очаговая инфильтрация межальвеолярных перегородок с набуханием альвеолярного эпителия и скопления макрофагов в просветах альвеол, а также гипертрофия ГМК сло</w:t>
      </w:r>
      <w:r w:rsidR="00267FF5">
        <w:rPr>
          <w:rFonts w:ascii="Times New Roman" w:hAnsi="Times New Roman" w:cs="Times New Roman"/>
          <w:sz w:val="28"/>
          <w:szCs w:val="28"/>
        </w:rPr>
        <w:t xml:space="preserve">я. По результатам эксперимента, возможно </w:t>
      </w:r>
      <w:r w:rsidRPr="00E75DE8">
        <w:rPr>
          <w:rFonts w:ascii="Times New Roman" w:hAnsi="Times New Roman" w:cs="Times New Roman"/>
          <w:sz w:val="28"/>
          <w:szCs w:val="28"/>
        </w:rPr>
        <w:t>четко и ясно просмотреть явления гипоксии, воспаления и фиброза. Где в основе патогенеза воспалительных заболеваний легких лежат как раз таки вышеперечисленные патологические процессы.</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E75DE8" w:rsidRDefault="00E75DE8" w:rsidP="00E75DE8">
      <w:pPr>
        <w:spacing w:after="0" w:line="240" w:lineRule="auto"/>
        <w:jc w:val="both"/>
        <w:rPr>
          <w:rFonts w:ascii="Times New Roman" w:hAnsi="Times New Roman" w:cs="Times New Roman"/>
          <w:sz w:val="28"/>
          <w:szCs w:val="28"/>
        </w:rPr>
      </w:pPr>
    </w:p>
    <w:p w:rsidR="00E75DE8" w:rsidRPr="00B06034" w:rsidRDefault="00E75DE8" w:rsidP="00B06034">
      <w:pPr>
        <w:spacing w:after="0" w:line="240" w:lineRule="auto"/>
        <w:jc w:val="center"/>
        <w:rPr>
          <w:rFonts w:ascii="Times New Roman" w:hAnsi="Times New Roman" w:cs="Times New Roman"/>
          <w:b/>
          <w:sz w:val="28"/>
          <w:szCs w:val="28"/>
        </w:rPr>
      </w:pPr>
      <w:r w:rsidRPr="00B06034">
        <w:rPr>
          <w:rFonts w:ascii="Times New Roman" w:hAnsi="Times New Roman" w:cs="Times New Roman"/>
          <w:b/>
          <w:sz w:val="28"/>
          <w:szCs w:val="28"/>
        </w:rPr>
        <w:t>ПРАКТИЧЕСКИЕ РЕКОМЕНДАЦИИ:</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7B6E3A" w:rsidRDefault="00E75DE8" w:rsidP="00B06034">
      <w:pPr>
        <w:tabs>
          <w:tab w:val="left" w:pos="993"/>
        </w:tabs>
        <w:spacing w:after="0" w:line="240" w:lineRule="auto"/>
        <w:ind w:firstLine="709"/>
        <w:jc w:val="both"/>
        <w:rPr>
          <w:rFonts w:ascii="Times New Roman" w:hAnsi="Times New Roman" w:cs="Times New Roman"/>
          <w:spacing w:val="6"/>
          <w:sz w:val="28"/>
          <w:szCs w:val="28"/>
        </w:rPr>
      </w:pPr>
      <w:r w:rsidRPr="00E75DE8">
        <w:rPr>
          <w:rFonts w:ascii="Times New Roman" w:hAnsi="Times New Roman" w:cs="Times New Roman"/>
          <w:sz w:val="28"/>
          <w:szCs w:val="28"/>
        </w:rPr>
        <w:t>1.</w:t>
      </w:r>
      <w:r w:rsidRPr="00E75DE8">
        <w:rPr>
          <w:rFonts w:ascii="Times New Roman" w:hAnsi="Times New Roman" w:cs="Times New Roman"/>
          <w:sz w:val="28"/>
          <w:szCs w:val="28"/>
        </w:rPr>
        <w:tab/>
      </w:r>
      <w:r w:rsidRPr="007B6E3A">
        <w:rPr>
          <w:rFonts w:ascii="Times New Roman" w:hAnsi="Times New Roman" w:cs="Times New Roman"/>
          <w:spacing w:val="6"/>
          <w:sz w:val="28"/>
          <w:szCs w:val="28"/>
        </w:rPr>
        <w:t>При планировании развития населенных пунктов следует учитывать расположение возможных источников атмосферного воздуха: промышленных предприятий, теплоэлектростанций, очистных сооружений, дорожных магистралей с интенсивным движением автотранспорта. При этом необходимо предусматривать, что степень загрязнения атмосферы не должна влиять на состояние здоровья и качество жизни населения.</w:t>
      </w:r>
    </w:p>
    <w:p w:rsidR="00E75DE8" w:rsidRPr="007B6E3A" w:rsidRDefault="00E75DE8" w:rsidP="00B06034">
      <w:pPr>
        <w:tabs>
          <w:tab w:val="left" w:pos="993"/>
        </w:tabs>
        <w:spacing w:after="0" w:line="240" w:lineRule="auto"/>
        <w:ind w:firstLine="709"/>
        <w:jc w:val="both"/>
        <w:rPr>
          <w:rFonts w:ascii="Times New Roman" w:hAnsi="Times New Roman" w:cs="Times New Roman"/>
          <w:spacing w:val="6"/>
          <w:sz w:val="28"/>
          <w:szCs w:val="28"/>
        </w:rPr>
      </w:pPr>
      <w:r w:rsidRPr="007B6E3A">
        <w:rPr>
          <w:rFonts w:ascii="Times New Roman" w:hAnsi="Times New Roman" w:cs="Times New Roman"/>
          <w:spacing w:val="6"/>
          <w:sz w:val="28"/>
          <w:szCs w:val="28"/>
        </w:rPr>
        <w:t>2.</w:t>
      </w:r>
      <w:r w:rsidRPr="007B6E3A">
        <w:rPr>
          <w:rFonts w:ascii="Times New Roman" w:hAnsi="Times New Roman" w:cs="Times New Roman"/>
          <w:spacing w:val="6"/>
          <w:sz w:val="28"/>
          <w:szCs w:val="28"/>
        </w:rPr>
        <w:tab/>
        <w:t>Рекомендуется проводить регулярные медицинские обследования лиц, проживающих в  районах Кыргызской Республики с повышенными уровнями атмосферного загрязнения, при этом в ходе углубленного исследования состояния здоровья целесообразно оценивать показатели функции внешнего дыхания,  иммунного статуса  и параметры активности свободнорадикального окисления конденсата выдыхаемого воздуха у данного контингента лиц.</w:t>
      </w:r>
    </w:p>
    <w:p w:rsidR="005B15EA" w:rsidRDefault="00AC544D" w:rsidP="005B15EA">
      <w:pPr>
        <w:tabs>
          <w:tab w:val="left" w:pos="993"/>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3</w:t>
      </w:r>
      <w:r w:rsidR="00E75DE8" w:rsidRPr="007B6E3A">
        <w:rPr>
          <w:rFonts w:ascii="Times New Roman" w:hAnsi="Times New Roman" w:cs="Times New Roman"/>
          <w:spacing w:val="6"/>
          <w:sz w:val="28"/>
          <w:szCs w:val="28"/>
        </w:rPr>
        <w:t>.</w:t>
      </w:r>
      <w:r w:rsidR="00E75DE8" w:rsidRPr="007B6E3A">
        <w:rPr>
          <w:rFonts w:ascii="Times New Roman" w:hAnsi="Times New Roman" w:cs="Times New Roman"/>
          <w:spacing w:val="6"/>
          <w:sz w:val="28"/>
          <w:szCs w:val="28"/>
        </w:rPr>
        <w:tab/>
        <w:t xml:space="preserve">При анализе результатов лабораторных исследований иммунного статуса у лиц, проживающих в условиях загрязненной атмосферы, </w:t>
      </w:r>
      <w:r w:rsidR="007B6E3A">
        <w:rPr>
          <w:rFonts w:ascii="Times New Roman" w:hAnsi="Times New Roman" w:cs="Times New Roman"/>
          <w:spacing w:val="6"/>
          <w:sz w:val="28"/>
          <w:szCs w:val="28"/>
        </w:rPr>
        <w:t xml:space="preserve">                    </w:t>
      </w:r>
      <w:r w:rsidR="00E75DE8" w:rsidRPr="007B6E3A">
        <w:rPr>
          <w:rFonts w:ascii="Times New Roman" w:hAnsi="Times New Roman" w:cs="Times New Roman"/>
          <w:spacing w:val="6"/>
          <w:sz w:val="28"/>
          <w:szCs w:val="28"/>
        </w:rPr>
        <w:t xml:space="preserve">следует учитывать в качестве  факторов прогноза развития аллергического ринита и  бронхиальной астмы следующие показатели: </w:t>
      </w:r>
      <w:r w:rsidR="007B6E3A">
        <w:rPr>
          <w:rFonts w:ascii="Times New Roman" w:hAnsi="Times New Roman" w:cs="Times New Roman"/>
          <w:spacing w:val="6"/>
          <w:sz w:val="28"/>
          <w:szCs w:val="28"/>
        </w:rPr>
        <w:t xml:space="preserve">                              </w:t>
      </w:r>
      <w:r w:rsidR="00E75DE8" w:rsidRPr="007B6E3A">
        <w:rPr>
          <w:rFonts w:ascii="Times New Roman" w:hAnsi="Times New Roman" w:cs="Times New Roman"/>
          <w:spacing w:val="6"/>
          <w:sz w:val="28"/>
          <w:szCs w:val="28"/>
        </w:rPr>
        <w:t>относительное количество в периферической крови CD3+ (Т-лимфоцитов-общих),  CD4+ (Т-лимфоцитов-хелперов), CD8+ лимфоцитов (цитотоксических),  CD20+ лимфоцитов, концентрации  иммуноглобулинов Ig G и E, некроза опухоли-альфа, интерферона-γ, С-реактивн</w:t>
      </w:r>
      <w:r w:rsidR="005B15EA">
        <w:rPr>
          <w:rFonts w:ascii="Times New Roman" w:hAnsi="Times New Roman" w:cs="Times New Roman"/>
          <w:spacing w:val="6"/>
          <w:sz w:val="28"/>
          <w:szCs w:val="28"/>
        </w:rPr>
        <w:t>ого белка, фагоцитарный индекс.</w:t>
      </w:r>
    </w:p>
    <w:p w:rsidR="005B15EA" w:rsidRDefault="005B15EA" w:rsidP="005B15EA">
      <w:pPr>
        <w:tabs>
          <w:tab w:val="left" w:pos="993"/>
        </w:tabs>
        <w:spacing w:after="0" w:line="240" w:lineRule="auto"/>
        <w:ind w:firstLine="709"/>
        <w:jc w:val="both"/>
        <w:rPr>
          <w:rFonts w:ascii="Times New Roman" w:hAnsi="Times New Roman" w:cs="Times New Roman"/>
          <w:spacing w:val="6"/>
          <w:sz w:val="28"/>
          <w:szCs w:val="28"/>
        </w:rPr>
      </w:pPr>
    </w:p>
    <w:p w:rsidR="00E75DE8" w:rsidRPr="005B15EA" w:rsidRDefault="00E75DE8" w:rsidP="005B15EA">
      <w:pPr>
        <w:tabs>
          <w:tab w:val="left" w:pos="993"/>
        </w:tabs>
        <w:spacing w:after="0" w:line="240" w:lineRule="auto"/>
        <w:ind w:firstLine="709"/>
        <w:jc w:val="both"/>
        <w:rPr>
          <w:rFonts w:ascii="Times New Roman" w:hAnsi="Times New Roman" w:cs="Times New Roman"/>
          <w:spacing w:val="6"/>
          <w:sz w:val="28"/>
          <w:szCs w:val="28"/>
        </w:rPr>
      </w:pPr>
      <w:r w:rsidRPr="00B06034">
        <w:rPr>
          <w:rFonts w:ascii="Times New Roman" w:hAnsi="Times New Roman" w:cs="Times New Roman"/>
          <w:b/>
          <w:sz w:val="28"/>
          <w:szCs w:val="28"/>
        </w:rPr>
        <w:t>СПИСОК РАБОТ ОПУБЛИКОВАННЫХ ПО ТЕМЕ ДИССЕРТАЦИИ</w:t>
      </w:r>
      <w:r w:rsidR="00B06034">
        <w:rPr>
          <w:rFonts w:ascii="Times New Roman" w:hAnsi="Times New Roman" w:cs="Times New Roman"/>
          <w:b/>
          <w:sz w:val="28"/>
          <w:szCs w:val="28"/>
        </w:rPr>
        <w:t>:</w:t>
      </w:r>
    </w:p>
    <w:p w:rsidR="00E75DE8" w:rsidRPr="00E75DE8" w:rsidRDefault="00E75DE8" w:rsidP="00E75DE8">
      <w:pPr>
        <w:spacing w:after="0" w:line="240" w:lineRule="auto"/>
        <w:jc w:val="both"/>
        <w:rPr>
          <w:rFonts w:ascii="Times New Roman" w:hAnsi="Times New Roman" w:cs="Times New Roman"/>
          <w:sz w:val="28"/>
          <w:szCs w:val="28"/>
        </w:rPr>
      </w:pPr>
    </w:p>
    <w:p w:rsidR="00E75DE8" w:rsidRPr="00E75DE8" w:rsidRDefault="00E75DE8" w:rsidP="00B06034">
      <w:pPr>
        <w:tabs>
          <w:tab w:val="left" w:pos="1276"/>
        </w:tabs>
        <w:spacing w:after="0" w:line="240" w:lineRule="auto"/>
        <w:ind w:firstLine="709"/>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 xml:space="preserve">1. </w:t>
      </w:r>
      <w:r w:rsidR="00B60E41" w:rsidRPr="00B60E41">
        <w:rPr>
          <w:rFonts w:ascii="Times New Roman" w:hAnsi="Times New Roman" w:cs="Times New Roman"/>
          <w:b/>
          <w:sz w:val="28"/>
          <w:szCs w:val="28"/>
          <w:lang w:val="en-US"/>
        </w:rPr>
        <w:t>Topchubaeva, E. T.</w:t>
      </w:r>
      <w:r w:rsidR="00B60E41">
        <w:rPr>
          <w:rFonts w:ascii="Times New Roman" w:hAnsi="Times New Roman" w:cs="Times New Roman"/>
          <w:sz w:val="28"/>
          <w:szCs w:val="28"/>
          <w:lang w:val="en-US"/>
        </w:rPr>
        <w:t xml:space="preserve"> </w:t>
      </w:r>
      <w:r w:rsidRPr="00E75DE8">
        <w:rPr>
          <w:rFonts w:ascii="Times New Roman" w:hAnsi="Times New Roman" w:cs="Times New Roman"/>
          <w:sz w:val="28"/>
          <w:szCs w:val="28"/>
          <w:lang w:val="en-US"/>
        </w:rPr>
        <w:t>Respiratory Tract Disorders Associated with Changes of the Mucous Membrane in Workers often Exposed to Pathological and Toxic Factors</w:t>
      </w:r>
      <w:r w:rsidR="00B60E41">
        <w:rPr>
          <w:rFonts w:ascii="Times New Roman" w:hAnsi="Times New Roman" w:cs="Times New Roman"/>
          <w:sz w:val="28"/>
          <w:szCs w:val="28"/>
          <w:lang w:val="en-US"/>
        </w:rPr>
        <w:t xml:space="preserve"> </w:t>
      </w:r>
      <w:r w:rsidR="00B60E41" w:rsidRPr="001D5142">
        <w:rPr>
          <w:rFonts w:ascii="Times New Roman" w:hAnsi="Times New Roman" w:cs="Times New Roman"/>
          <w:sz w:val="28"/>
          <w:szCs w:val="28"/>
          <w:lang w:val="en-US"/>
        </w:rPr>
        <w:t>[</w:t>
      </w:r>
      <w:r w:rsidR="00B60E41">
        <w:rPr>
          <w:rFonts w:ascii="Times New Roman" w:hAnsi="Times New Roman" w:cs="Times New Roman"/>
          <w:sz w:val="28"/>
          <w:szCs w:val="28"/>
          <w:lang w:val="en-US"/>
        </w:rPr>
        <w:t>Text</w:t>
      </w:r>
      <w:r w:rsidR="00B60E41" w:rsidRPr="001D5142">
        <w:rPr>
          <w:rFonts w:ascii="Times New Roman" w:hAnsi="Times New Roman" w:cs="Times New Roman"/>
          <w:sz w:val="28"/>
          <w:szCs w:val="28"/>
          <w:lang w:val="en-US"/>
        </w:rPr>
        <w:t>] / [</w:t>
      </w:r>
      <w:r w:rsidR="00B60E41">
        <w:rPr>
          <w:rFonts w:ascii="Times New Roman" w:hAnsi="Times New Roman" w:cs="Times New Roman"/>
          <w:sz w:val="28"/>
          <w:szCs w:val="28"/>
          <w:lang w:val="en-US"/>
        </w:rPr>
        <w:t>E. T. Topchubaeva, Z. B. Imetova, A. K. Turusbekova at al</w:t>
      </w:r>
      <w:r w:rsidR="00B60E41" w:rsidRPr="001D5142">
        <w:rPr>
          <w:rFonts w:ascii="Times New Roman" w:hAnsi="Times New Roman" w:cs="Times New Roman"/>
          <w:sz w:val="28"/>
          <w:szCs w:val="28"/>
          <w:lang w:val="en-US"/>
        </w:rPr>
        <w:t xml:space="preserve">.]. // </w:t>
      </w:r>
      <w:r w:rsidR="00B60E41" w:rsidRPr="00E75DE8">
        <w:rPr>
          <w:rFonts w:ascii="Times New Roman" w:hAnsi="Times New Roman" w:cs="Times New Roman"/>
          <w:sz w:val="28"/>
          <w:szCs w:val="28"/>
          <w:lang w:val="en-US"/>
        </w:rPr>
        <w:lastRenderedPageBreak/>
        <w:t>Journal of Environmental Treatment  Techniques</w:t>
      </w:r>
      <w:r w:rsidR="00B60E41">
        <w:rPr>
          <w:rFonts w:ascii="Times New Roman" w:hAnsi="Times New Roman" w:cs="Times New Roman"/>
          <w:sz w:val="28"/>
          <w:szCs w:val="28"/>
          <w:lang w:val="en-US"/>
        </w:rPr>
        <w:t xml:space="preserve">. </w:t>
      </w:r>
      <w:r w:rsidR="00B60E41" w:rsidRPr="003E522E">
        <w:rPr>
          <w:rFonts w:ascii="Times New Roman" w:hAnsi="Times New Roman" w:cs="Times New Roman"/>
          <w:sz w:val="28"/>
          <w:szCs w:val="28"/>
          <w:lang w:val="en-US"/>
        </w:rPr>
        <w:t>-</w:t>
      </w:r>
      <w:r w:rsidR="00B60E41">
        <w:rPr>
          <w:rFonts w:ascii="Times New Roman" w:hAnsi="Times New Roman" w:cs="Times New Roman"/>
          <w:sz w:val="28"/>
          <w:szCs w:val="28"/>
          <w:lang w:val="en-US"/>
        </w:rPr>
        <w:t xml:space="preserve"> </w:t>
      </w:r>
      <w:r w:rsidR="00B60E41" w:rsidRPr="00E75DE8">
        <w:rPr>
          <w:rFonts w:ascii="Times New Roman" w:hAnsi="Times New Roman" w:cs="Times New Roman"/>
          <w:sz w:val="28"/>
          <w:szCs w:val="28"/>
          <w:lang w:val="en-US"/>
        </w:rPr>
        <w:t>2020</w:t>
      </w:r>
      <w:r w:rsidR="00B60E41" w:rsidRPr="003E522E">
        <w:rPr>
          <w:rFonts w:ascii="Times New Roman" w:hAnsi="Times New Roman" w:cs="Times New Roman"/>
          <w:sz w:val="28"/>
          <w:szCs w:val="28"/>
          <w:lang w:val="en-US"/>
        </w:rPr>
        <w:t xml:space="preserve">. </w:t>
      </w:r>
      <w:r w:rsidR="00B60E41" w:rsidRPr="003E522E">
        <w:rPr>
          <w:rFonts w:ascii="Times New Roman" w:hAnsi="Times New Roman" w:cs="Times New Roman"/>
          <w:color w:val="000000" w:themeColor="text1"/>
          <w:sz w:val="28"/>
          <w:szCs w:val="28"/>
          <w:lang w:val="en-US"/>
        </w:rPr>
        <w:t>– V</w:t>
      </w:r>
      <w:r w:rsidR="00B60E41">
        <w:rPr>
          <w:rFonts w:ascii="Times New Roman" w:hAnsi="Times New Roman" w:cs="Times New Roman"/>
          <w:color w:val="000000" w:themeColor="text1"/>
          <w:sz w:val="28"/>
          <w:szCs w:val="28"/>
          <w:lang w:val="en-US"/>
        </w:rPr>
        <w:t>ol</w:t>
      </w:r>
      <w:r w:rsidR="00B60E41" w:rsidRPr="003E522E">
        <w:rPr>
          <w:rFonts w:ascii="Times New Roman" w:hAnsi="Times New Roman" w:cs="Times New Roman"/>
          <w:color w:val="000000" w:themeColor="text1"/>
          <w:sz w:val="28"/>
          <w:szCs w:val="28"/>
          <w:lang w:val="en-US"/>
        </w:rPr>
        <w:t xml:space="preserve">. </w:t>
      </w:r>
      <w:r w:rsidR="00B60E41">
        <w:rPr>
          <w:rFonts w:ascii="Times New Roman" w:hAnsi="Times New Roman" w:cs="Times New Roman"/>
          <w:color w:val="000000" w:themeColor="text1"/>
          <w:sz w:val="28"/>
          <w:szCs w:val="28"/>
          <w:lang w:val="en-US"/>
        </w:rPr>
        <w:t>8</w:t>
      </w:r>
      <w:r w:rsidR="00B60E41" w:rsidRPr="003E522E">
        <w:rPr>
          <w:rFonts w:ascii="Times New Roman" w:hAnsi="Times New Roman" w:cs="Times New Roman"/>
          <w:color w:val="000000" w:themeColor="text1"/>
          <w:sz w:val="28"/>
          <w:szCs w:val="28"/>
          <w:lang w:val="en-US"/>
        </w:rPr>
        <w:t xml:space="preserve">, I. </w:t>
      </w:r>
      <w:r w:rsidR="00B60E41">
        <w:rPr>
          <w:rFonts w:ascii="Times New Roman" w:hAnsi="Times New Roman" w:cs="Times New Roman"/>
          <w:color w:val="000000" w:themeColor="text1"/>
          <w:sz w:val="28"/>
          <w:szCs w:val="28"/>
          <w:lang w:val="en-US"/>
        </w:rPr>
        <w:t>4</w:t>
      </w:r>
      <w:r w:rsidR="00B60E41" w:rsidRPr="003E522E">
        <w:rPr>
          <w:rFonts w:ascii="Times New Roman" w:hAnsi="Times New Roman" w:cs="Times New Roman"/>
          <w:color w:val="000000" w:themeColor="text1"/>
          <w:sz w:val="28"/>
          <w:szCs w:val="28"/>
          <w:lang w:val="en-US"/>
        </w:rPr>
        <w:t xml:space="preserve">. – </w:t>
      </w:r>
      <w:r w:rsidR="00B60E41">
        <w:rPr>
          <w:rFonts w:ascii="Times New Roman" w:hAnsi="Times New Roman" w:cs="Times New Roman"/>
          <w:color w:val="000000" w:themeColor="text1"/>
          <w:sz w:val="28"/>
          <w:szCs w:val="28"/>
        </w:rPr>
        <w:t>Р</w:t>
      </w:r>
      <w:r w:rsidR="00B60E41" w:rsidRPr="003E522E">
        <w:rPr>
          <w:rFonts w:ascii="Times New Roman" w:hAnsi="Times New Roman" w:cs="Times New Roman"/>
          <w:color w:val="000000" w:themeColor="text1"/>
          <w:sz w:val="28"/>
          <w:szCs w:val="28"/>
          <w:lang w:val="en-US"/>
        </w:rPr>
        <w:t xml:space="preserve">. </w:t>
      </w:r>
      <w:r w:rsidR="00B60E41" w:rsidRPr="00E75DE8">
        <w:rPr>
          <w:rFonts w:ascii="Times New Roman" w:hAnsi="Times New Roman" w:cs="Times New Roman"/>
          <w:sz w:val="28"/>
          <w:szCs w:val="28"/>
          <w:lang w:val="en-US"/>
        </w:rPr>
        <w:t>1581-1585</w:t>
      </w:r>
      <w:r w:rsidR="00B60E41" w:rsidRPr="003E522E">
        <w:rPr>
          <w:rFonts w:ascii="Times New Roman" w:hAnsi="Times New Roman" w:cs="Times New Roman"/>
          <w:color w:val="000000" w:themeColor="text1"/>
          <w:sz w:val="28"/>
          <w:szCs w:val="28"/>
          <w:lang w:val="en-US"/>
        </w:rPr>
        <w:t>;</w:t>
      </w:r>
      <w:r w:rsidR="00B60E41">
        <w:rPr>
          <w:rFonts w:ascii="Times New Roman" w:hAnsi="Times New Roman" w:cs="Times New Roman"/>
          <w:color w:val="000000" w:themeColor="text1"/>
          <w:sz w:val="28"/>
          <w:szCs w:val="28"/>
          <w:lang w:val="en-US"/>
        </w:rPr>
        <w:t xml:space="preserve"> </w:t>
      </w:r>
      <w:r w:rsidR="00B60E41" w:rsidRPr="000D1FBB">
        <w:rPr>
          <w:rFonts w:ascii="Times New Roman" w:eastAsia="Calibri" w:hAnsi="Times New Roman" w:cs="Times New Roman"/>
          <w:spacing w:val="4"/>
          <w:sz w:val="28"/>
          <w:szCs w:val="28"/>
          <w:lang w:val="ky-KG"/>
        </w:rPr>
        <w:t xml:space="preserve">То же: </w:t>
      </w:r>
      <w:r w:rsidR="00B60E41" w:rsidRPr="003E522E">
        <w:rPr>
          <w:rFonts w:ascii="Times New Roman" w:eastAsia="Calibri" w:hAnsi="Times New Roman" w:cs="Times New Roman"/>
          <w:spacing w:val="4"/>
          <w:sz w:val="28"/>
          <w:szCs w:val="28"/>
          <w:lang w:val="en-US"/>
        </w:rPr>
        <w:t>[</w:t>
      </w:r>
      <w:r w:rsidR="00B60E41" w:rsidRPr="000D1FBB">
        <w:rPr>
          <w:rFonts w:ascii="Times New Roman" w:eastAsia="Calibri" w:hAnsi="Times New Roman" w:cs="Times New Roman"/>
          <w:spacing w:val="4"/>
          <w:sz w:val="28"/>
          <w:szCs w:val="28"/>
        </w:rPr>
        <w:t>Электронный</w:t>
      </w:r>
      <w:r w:rsidR="00B60E41" w:rsidRPr="003E522E">
        <w:rPr>
          <w:rFonts w:ascii="Times New Roman" w:eastAsia="Calibri" w:hAnsi="Times New Roman" w:cs="Times New Roman"/>
          <w:spacing w:val="4"/>
          <w:sz w:val="28"/>
          <w:szCs w:val="28"/>
          <w:lang w:val="en-US"/>
        </w:rPr>
        <w:t xml:space="preserve"> </w:t>
      </w:r>
      <w:r w:rsidR="00B60E41" w:rsidRPr="000D1FBB">
        <w:rPr>
          <w:rFonts w:ascii="Times New Roman" w:eastAsia="Calibri" w:hAnsi="Times New Roman" w:cs="Times New Roman"/>
          <w:spacing w:val="4"/>
          <w:sz w:val="28"/>
          <w:szCs w:val="28"/>
        </w:rPr>
        <w:t>ресурс</w:t>
      </w:r>
      <w:r w:rsidR="00B60E41" w:rsidRPr="003E522E">
        <w:rPr>
          <w:rFonts w:ascii="Times New Roman" w:eastAsia="Calibri" w:hAnsi="Times New Roman" w:cs="Times New Roman"/>
          <w:spacing w:val="4"/>
          <w:sz w:val="28"/>
          <w:szCs w:val="28"/>
          <w:lang w:val="en-US"/>
        </w:rPr>
        <w:t xml:space="preserve">]. – </w:t>
      </w:r>
      <w:r w:rsidR="00B60E41" w:rsidRPr="000D1FBB">
        <w:rPr>
          <w:rFonts w:ascii="Times New Roman" w:eastAsia="Calibri" w:hAnsi="Times New Roman" w:cs="Times New Roman"/>
          <w:spacing w:val="4"/>
          <w:sz w:val="28"/>
          <w:szCs w:val="28"/>
        </w:rPr>
        <w:t>Режим</w:t>
      </w:r>
      <w:r w:rsidR="00B60E41" w:rsidRPr="003E522E">
        <w:rPr>
          <w:rFonts w:ascii="Times New Roman" w:eastAsia="Calibri" w:hAnsi="Times New Roman" w:cs="Times New Roman"/>
          <w:spacing w:val="4"/>
          <w:sz w:val="28"/>
          <w:szCs w:val="28"/>
          <w:lang w:val="en-US"/>
        </w:rPr>
        <w:t xml:space="preserve"> </w:t>
      </w:r>
      <w:r w:rsidR="00B60E41" w:rsidRPr="000D1FBB">
        <w:rPr>
          <w:rFonts w:ascii="Times New Roman" w:eastAsia="Calibri" w:hAnsi="Times New Roman" w:cs="Times New Roman"/>
          <w:spacing w:val="4"/>
          <w:sz w:val="28"/>
          <w:szCs w:val="28"/>
        </w:rPr>
        <w:t>доступа</w:t>
      </w:r>
      <w:r w:rsidR="00B60E41" w:rsidRPr="003E522E">
        <w:rPr>
          <w:rFonts w:ascii="Times New Roman" w:eastAsia="Calibri" w:hAnsi="Times New Roman" w:cs="Times New Roman"/>
          <w:spacing w:val="4"/>
          <w:sz w:val="28"/>
          <w:szCs w:val="28"/>
          <w:lang w:val="en-US"/>
        </w:rPr>
        <w:t xml:space="preserve">: </w:t>
      </w:r>
      <w:r w:rsidR="00B60E41" w:rsidRPr="000D1FBB">
        <w:rPr>
          <w:rFonts w:ascii="Times New Roman" w:eastAsia="Calibri" w:hAnsi="Times New Roman" w:cs="Times New Roman"/>
          <w:spacing w:val="4"/>
          <w:sz w:val="28"/>
          <w:szCs w:val="28"/>
          <w:lang w:val="en-US"/>
        </w:rPr>
        <w:t>URL</w:t>
      </w:r>
      <w:r w:rsidR="00B60E41" w:rsidRPr="003E522E">
        <w:rPr>
          <w:rFonts w:ascii="Times New Roman" w:eastAsia="Calibri" w:hAnsi="Times New Roman" w:cs="Times New Roman"/>
          <w:spacing w:val="4"/>
          <w:sz w:val="28"/>
          <w:szCs w:val="28"/>
          <w:lang w:val="en-US"/>
        </w:rPr>
        <w:t xml:space="preserve">: </w:t>
      </w:r>
      <w:r w:rsidRPr="00E75DE8">
        <w:rPr>
          <w:rFonts w:ascii="Times New Roman" w:hAnsi="Times New Roman" w:cs="Times New Roman"/>
          <w:sz w:val="28"/>
          <w:szCs w:val="28"/>
          <w:lang w:val="en-US"/>
        </w:rPr>
        <w:t xml:space="preserve"> </w:t>
      </w:r>
    </w:p>
    <w:p w:rsidR="000D1FBB" w:rsidRPr="000D1FBB" w:rsidRDefault="000B537B" w:rsidP="000D1FBB">
      <w:pPr>
        <w:tabs>
          <w:tab w:val="left" w:pos="1276"/>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Pr="000B537B">
        <w:rPr>
          <w:rFonts w:ascii="Times New Roman" w:hAnsi="Times New Roman" w:cs="Times New Roman"/>
          <w:b/>
          <w:sz w:val="28"/>
          <w:szCs w:val="28"/>
        </w:rPr>
        <w:t>Топчубаева</w:t>
      </w:r>
      <w:r>
        <w:rPr>
          <w:rFonts w:ascii="Times New Roman" w:hAnsi="Times New Roman" w:cs="Times New Roman"/>
          <w:b/>
          <w:sz w:val="28"/>
          <w:szCs w:val="28"/>
        </w:rPr>
        <w:t>,</w:t>
      </w:r>
      <w:r w:rsidRPr="000B537B">
        <w:rPr>
          <w:rFonts w:ascii="Times New Roman" w:hAnsi="Times New Roman" w:cs="Times New Roman"/>
          <w:b/>
          <w:sz w:val="28"/>
          <w:szCs w:val="28"/>
        </w:rPr>
        <w:t xml:space="preserve"> Э.</w:t>
      </w:r>
      <w:r>
        <w:rPr>
          <w:rFonts w:ascii="Times New Roman" w:hAnsi="Times New Roman" w:cs="Times New Roman"/>
          <w:b/>
          <w:sz w:val="28"/>
          <w:szCs w:val="28"/>
        </w:rPr>
        <w:t xml:space="preserve"> </w:t>
      </w:r>
      <w:r w:rsidR="00E75DE8" w:rsidRPr="00E75DE8">
        <w:rPr>
          <w:rFonts w:ascii="Times New Roman" w:hAnsi="Times New Roman" w:cs="Times New Roman"/>
          <w:sz w:val="28"/>
          <w:szCs w:val="28"/>
        </w:rPr>
        <w:t>Особенности патогенеза заболеваний, связанных с воздействием загрязнителей атмосферного воздуха на организм человека</w:t>
      </w:r>
      <w:r>
        <w:rPr>
          <w:rFonts w:ascii="Times New Roman" w:hAnsi="Times New Roman" w:cs="Times New Roman"/>
          <w:sz w:val="28"/>
          <w:szCs w:val="28"/>
        </w:rPr>
        <w:t xml:space="preserve"> </w:t>
      </w:r>
      <w:r w:rsidRPr="000B537B">
        <w:rPr>
          <w:rFonts w:ascii="Times New Roman" w:hAnsi="Times New Roman" w:cs="Times New Roman"/>
          <w:sz w:val="28"/>
          <w:szCs w:val="28"/>
        </w:rPr>
        <w:t>[</w:t>
      </w:r>
      <w:r>
        <w:rPr>
          <w:rFonts w:ascii="Times New Roman" w:hAnsi="Times New Roman" w:cs="Times New Roman"/>
          <w:sz w:val="28"/>
          <w:szCs w:val="28"/>
        </w:rPr>
        <w:t>Текст</w:t>
      </w:r>
      <w:r w:rsidRPr="000B537B">
        <w:rPr>
          <w:rFonts w:ascii="Times New Roman" w:hAnsi="Times New Roman" w:cs="Times New Roman"/>
          <w:sz w:val="28"/>
          <w:szCs w:val="28"/>
        </w:rPr>
        <w:t>]</w:t>
      </w:r>
      <w:r w:rsidR="00E75DE8" w:rsidRPr="00E75DE8">
        <w:rPr>
          <w:rFonts w:ascii="Times New Roman" w:hAnsi="Times New Roman" w:cs="Times New Roman"/>
          <w:sz w:val="28"/>
          <w:szCs w:val="28"/>
        </w:rPr>
        <w:t xml:space="preserve"> </w:t>
      </w:r>
      <w:r>
        <w:rPr>
          <w:rFonts w:ascii="Times New Roman" w:hAnsi="Times New Roman" w:cs="Times New Roman"/>
          <w:sz w:val="28"/>
          <w:szCs w:val="28"/>
        </w:rPr>
        <w:t xml:space="preserve">/ Э. Т. Топчубаева // Вестник Ошского государственного университета. </w:t>
      </w:r>
      <w:r w:rsidR="000D1FBB">
        <w:rPr>
          <w:rFonts w:ascii="Times New Roman" w:hAnsi="Times New Roman" w:cs="Times New Roman"/>
          <w:sz w:val="28"/>
          <w:szCs w:val="28"/>
        </w:rPr>
        <w:t>–</w:t>
      </w:r>
      <w:r w:rsidR="00371320">
        <w:rPr>
          <w:rFonts w:ascii="Times New Roman" w:hAnsi="Times New Roman" w:cs="Times New Roman"/>
          <w:sz w:val="28"/>
          <w:szCs w:val="28"/>
        </w:rPr>
        <w:t xml:space="preserve"> </w:t>
      </w:r>
      <w:r w:rsidR="000D1FBB">
        <w:rPr>
          <w:rFonts w:ascii="Times New Roman" w:hAnsi="Times New Roman" w:cs="Times New Roman"/>
          <w:sz w:val="28"/>
          <w:szCs w:val="28"/>
        </w:rPr>
        <w:t xml:space="preserve">2021. – Т. 1, № 5. – С. 118-125; </w:t>
      </w:r>
      <w:r w:rsidR="000D1FBB" w:rsidRPr="000D1FBB">
        <w:rPr>
          <w:rFonts w:ascii="Times New Roman" w:eastAsia="Calibri" w:hAnsi="Times New Roman" w:cs="Times New Roman"/>
          <w:spacing w:val="4"/>
          <w:sz w:val="28"/>
          <w:szCs w:val="28"/>
          <w:lang w:val="ky-KG"/>
        </w:rPr>
        <w:t xml:space="preserve">То же: </w:t>
      </w:r>
      <w:r w:rsidR="000D1FBB" w:rsidRPr="000D1FBB">
        <w:rPr>
          <w:rFonts w:ascii="Times New Roman" w:eastAsia="Calibri" w:hAnsi="Times New Roman" w:cs="Times New Roman"/>
          <w:spacing w:val="4"/>
          <w:sz w:val="28"/>
          <w:szCs w:val="28"/>
        </w:rPr>
        <w:t xml:space="preserve">[Электронный ресурс]. – Режим доступа: </w:t>
      </w:r>
      <w:r w:rsidR="000D1FBB" w:rsidRPr="000D1FBB">
        <w:rPr>
          <w:rFonts w:ascii="Times New Roman" w:eastAsia="Calibri" w:hAnsi="Times New Roman" w:cs="Times New Roman"/>
          <w:spacing w:val="4"/>
          <w:sz w:val="28"/>
          <w:szCs w:val="28"/>
          <w:lang w:val="en-US"/>
        </w:rPr>
        <w:t>URL</w:t>
      </w:r>
      <w:r w:rsidR="000D1FBB" w:rsidRPr="000D1FBB">
        <w:rPr>
          <w:rFonts w:ascii="Times New Roman" w:eastAsia="Calibri" w:hAnsi="Times New Roman" w:cs="Times New Roman"/>
          <w:spacing w:val="4"/>
          <w:sz w:val="28"/>
          <w:szCs w:val="28"/>
        </w:rPr>
        <w:t>:</w:t>
      </w:r>
      <w:r w:rsidR="000D1FBB">
        <w:rPr>
          <w:rFonts w:ascii="Times New Roman" w:eastAsia="Calibri" w:hAnsi="Times New Roman" w:cs="Times New Roman"/>
          <w:spacing w:val="4"/>
          <w:sz w:val="28"/>
          <w:szCs w:val="28"/>
        </w:rPr>
        <w:t xml:space="preserve"> </w:t>
      </w:r>
      <w:hyperlink r:id="rId15" w:history="1">
        <w:r w:rsidR="000D1FBB" w:rsidRPr="000D1FBB">
          <w:rPr>
            <w:rStyle w:val="ac"/>
            <w:rFonts w:ascii="Times New Roman" w:hAnsi="Times New Roman" w:cs="Times New Roman"/>
            <w:color w:val="000000" w:themeColor="text1"/>
            <w:sz w:val="28"/>
            <w:szCs w:val="28"/>
            <w:u w:val="none"/>
          </w:rPr>
          <w:t>https://www.elibrary.ru/item.asp?id=46644442</w:t>
        </w:r>
      </w:hyperlink>
    </w:p>
    <w:p w:rsidR="00371320" w:rsidRPr="00371320" w:rsidRDefault="00E75DE8" w:rsidP="00371320">
      <w:pPr>
        <w:tabs>
          <w:tab w:val="left" w:pos="1276"/>
        </w:tabs>
        <w:spacing w:after="0" w:line="240" w:lineRule="auto"/>
        <w:ind w:firstLine="709"/>
        <w:jc w:val="both"/>
        <w:rPr>
          <w:rFonts w:ascii="Times New Roman" w:hAnsi="Times New Roman" w:cs="Times New Roman"/>
          <w:color w:val="000000" w:themeColor="text1"/>
          <w:sz w:val="28"/>
          <w:szCs w:val="28"/>
        </w:rPr>
      </w:pPr>
      <w:r w:rsidRPr="00E75DE8">
        <w:rPr>
          <w:rFonts w:ascii="Times New Roman" w:hAnsi="Times New Roman" w:cs="Times New Roman"/>
          <w:sz w:val="28"/>
          <w:szCs w:val="28"/>
        </w:rPr>
        <w:t>3.</w:t>
      </w:r>
      <w:r w:rsidR="00966C6E">
        <w:rPr>
          <w:rFonts w:ascii="Times New Roman" w:hAnsi="Times New Roman" w:cs="Times New Roman"/>
          <w:sz w:val="28"/>
          <w:szCs w:val="28"/>
        </w:rPr>
        <w:t xml:space="preserve"> </w:t>
      </w:r>
      <w:r w:rsidR="00371320" w:rsidRPr="000B537B">
        <w:rPr>
          <w:rFonts w:ascii="Times New Roman" w:hAnsi="Times New Roman" w:cs="Times New Roman"/>
          <w:b/>
          <w:sz w:val="28"/>
          <w:szCs w:val="28"/>
        </w:rPr>
        <w:t>Топчубаева</w:t>
      </w:r>
      <w:r w:rsidR="00371320">
        <w:rPr>
          <w:rFonts w:ascii="Times New Roman" w:hAnsi="Times New Roman" w:cs="Times New Roman"/>
          <w:b/>
          <w:sz w:val="28"/>
          <w:szCs w:val="28"/>
        </w:rPr>
        <w:t>,</w:t>
      </w:r>
      <w:r w:rsidR="00371320" w:rsidRPr="000B537B">
        <w:rPr>
          <w:rFonts w:ascii="Times New Roman" w:hAnsi="Times New Roman" w:cs="Times New Roman"/>
          <w:b/>
          <w:sz w:val="28"/>
          <w:szCs w:val="28"/>
        </w:rPr>
        <w:t xml:space="preserve"> Э.</w:t>
      </w:r>
      <w:r w:rsidR="00371320">
        <w:rPr>
          <w:rFonts w:ascii="Times New Roman" w:hAnsi="Times New Roman" w:cs="Times New Roman"/>
          <w:b/>
          <w:sz w:val="28"/>
          <w:szCs w:val="28"/>
        </w:rPr>
        <w:t xml:space="preserve"> </w:t>
      </w:r>
      <w:r w:rsidRPr="00E75DE8">
        <w:rPr>
          <w:rFonts w:ascii="Times New Roman" w:hAnsi="Times New Roman" w:cs="Times New Roman"/>
          <w:sz w:val="28"/>
          <w:szCs w:val="28"/>
        </w:rPr>
        <w:t>Клинико-инструментальные характеристики системы органов дыхания у населения  Кыргызской Республики, проживающего в условиях воздействия заг</w:t>
      </w:r>
      <w:r w:rsidR="00371320">
        <w:rPr>
          <w:rFonts w:ascii="Times New Roman" w:hAnsi="Times New Roman" w:cs="Times New Roman"/>
          <w:sz w:val="28"/>
          <w:szCs w:val="28"/>
        </w:rPr>
        <w:t xml:space="preserve">рязнителей атмосферного воздуха </w:t>
      </w:r>
      <w:r w:rsidR="00371320" w:rsidRPr="000B537B">
        <w:rPr>
          <w:rFonts w:ascii="Times New Roman" w:hAnsi="Times New Roman" w:cs="Times New Roman"/>
          <w:sz w:val="28"/>
          <w:szCs w:val="28"/>
        </w:rPr>
        <w:t>[</w:t>
      </w:r>
      <w:r w:rsidR="00371320">
        <w:rPr>
          <w:rFonts w:ascii="Times New Roman" w:hAnsi="Times New Roman" w:cs="Times New Roman"/>
          <w:sz w:val="28"/>
          <w:szCs w:val="28"/>
        </w:rPr>
        <w:t>Текст</w:t>
      </w:r>
      <w:r w:rsidR="00371320" w:rsidRPr="000B537B">
        <w:rPr>
          <w:rFonts w:ascii="Times New Roman" w:hAnsi="Times New Roman" w:cs="Times New Roman"/>
          <w:sz w:val="28"/>
          <w:szCs w:val="28"/>
        </w:rPr>
        <w:t>]</w:t>
      </w:r>
      <w:r w:rsidR="00371320" w:rsidRPr="00E75DE8">
        <w:rPr>
          <w:rFonts w:ascii="Times New Roman" w:hAnsi="Times New Roman" w:cs="Times New Roman"/>
          <w:sz w:val="28"/>
          <w:szCs w:val="28"/>
        </w:rPr>
        <w:t xml:space="preserve"> </w:t>
      </w:r>
      <w:r w:rsidR="00371320">
        <w:rPr>
          <w:rFonts w:ascii="Times New Roman" w:hAnsi="Times New Roman" w:cs="Times New Roman"/>
          <w:sz w:val="28"/>
          <w:szCs w:val="28"/>
        </w:rPr>
        <w:t xml:space="preserve">/ </w:t>
      </w:r>
      <w:r w:rsidR="00D67E5D" w:rsidRPr="00D67E5D">
        <w:rPr>
          <w:rFonts w:ascii="Times New Roman" w:hAnsi="Times New Roman" w:cs="Times New Roman"/>
          <w:sz w:val="28"/>
          <w:szCs w:val="28"/>
        </w:rPr>
        <w:t>[</w:t>
      </w:r>
      <w:r w:rsidR="00371320">
        <w:rPr>
          <w:rFonts w:ascii="Times New Roman" w:hAnsi="Times New Roman" w:cs="Times New Roman"/>
          <w:sz w:val="28"/>
          <w:szCs w:val="28"/>
        </w:rPr>
        <w:t>Э. Т. Топчубаева</w:t>
      </w:r>
      <w:r w:rsidR="00D67E5D">
        <w:rPr>
          <w:rFonts w:ascii="Times New Roman" w:hAnsi="Times New Roman" w:cs="Times New Roman"/>
          <w:sz w:val="28"/>
          <w:szCs w:val="28"/>
        </w:rPr>
        <w:t>, Р. К. Калматов, Б М. Мааматова</w:t>
      </w:r>
      <w:r w:rsidR="00D67E5D" w:rsidRPr="00D67E5D">
        <w:rPr>
          <w:rFonts w:ascii="Times New Roman" w:hAnsi="Times New Roman" w:cs="Times New Roman"/>
          <w:sz w:val="28"/>
          <w:szCs w:val="28"/>
        </w:rPr>
        <w:t xml:space="preserve"> </w:t>
      </w:r>
      <w:r w:rsidR="00D67E5D">
        <w:rPr>
          <w:rFonts w:ascii="Times New Roman" w:hAnsi="Times New Roman" w:cs="Times New Roman"/>
          <w:sz w:val="28"/>
          <w:szCs w:val="28"/>
        </w:rPr>
        <w:t>и др.</w:t>
      </w:r>
      <w:r w:rsidR="00D67E5D" w:rsidRPr="00D67E5D">
        <w:rPr>
          <w:rFonts w:ascii="Times New Roman" w:hAnsi="Times New Roman" w:cs="Times New Roman"/>
          <w:sz w:val="28"/>
          <w:szCs w:val="28"/>
        </w:rPr>
        <w:t>]</w:t>
      </w:r>
      <w:r w:rsidR="00D67E5D">
        <w:rPr>
          <w:rFonts w:ascii="Times New Roman" w:hAnsi="Times New Roman" w:cs="Times New Roman"/>
          <w:sz w:val="28"/>
          <w:szCs w:val="28"/>
        </w:rPr>
        <w:t xml:space="preserve">. </w:t>
      </w:r>
      <w:r w:rsidR="00371320">
        <w:rPr>
          <w:rFonts w:ascii="Times New Roman" w:hAnsi="Times New Roman" w:cs="Times New Roman"/>
          <w:sz w:val="28"/>
          <w:szCs w:val="28"/>
        </w:rPr>
        <w:t xml:space="preserve">// </w:t>
      </w:r>
      <w:r w:rsidR="00371320" w:rsidRPr="00E75DE8">
        <w:rPr>
          <w:rFonts w:ascii="Times New Roman" w:hAnsi="Times New Roman" w:cs="Times New Roman"/>
          <w:sz w:val="28"/>
          <w:szCs w:val="28"/>
        </w:rPr>
        <w:t>Бюллетень науки и практики</w:t>
      </w:r>
      <w:r w:rsidR="00371320">
        <w:rPr>
          <w:rFonts w:ascii="Times New Roman" w:hAnsi="Times New Roman" w:cs="Times New Roman"/>
          <w:sz w:val="28"/>
          <w:szCs w:val="28"/>
        </w:rPr>
        <w:t xml:space="preserve">. – Нижневартовск,  2022. – Т. 8, № 10. – С. 173-183; </w:t>
      </w:r>
      <w:r w:rsidR="00371320" w:rsidRPr="000D1FBB">
        <w:rPr>
          <w:rFonts w:ascii="Times New Roman" w:eastAsia="Calibri" w:hAnsi="Times New Roman" w:cs="Times New Roman"/>
          <w:spacing w:val="4"/>
          <w:sz w:val="28"/>
          <w:szCs w:val="28"/>
          <w:lang w:val="ky-KG"/>
        </w:rPr>
        <w:t xml:space="preserve">То же: </w:t>
      </w:r>
      <w:r w:rsidR="00371320" w:rsidRPr="000D1FBB">
        <w:rPr>
          <w:rFonts w:ascii="Times New Roman" w:eastAsia="Calibri" w:hAnsi="Times New Roman" w:cs="Times New Roman"/>
          <w:spacing w:val="4"/>
          <w:sz w:val="28"/>
          <w:szCs w:val="28"/>
        </w:rPr>
        <w:t xml:space="preserve">[Электронный ресурс]. – Режим доступа: </w:t>
      </w:r>
      <w:r w:rsidR="00371320" w:rsidRPr="000D1FBB">
        <w:rPr>
          <w:rFonts w:ascii="Times New Roman" w:eastAsia="Calibri" w:hAnsi="Times New Roman" w:cs="Times New Roman"/>
          <w:spacing w:val="4"/>
          <w:sz w:val="28"/>
          <w:szCs w:val="28"/>
          <w:lang w:val="en-US"/>
        </w:rPr>
        <w:t>URL</w:t>
      </w:r>
      <w:r w:rsidR="00371320" w:rsidRPr="000D1FBB">
        <w:rPr>
          <w:rFonts w:ascii="Times New Roman" w:eastAsia="Calibri" w:hAnsi="Times New Roman" w:cs="Times New Roman"/>
          <w:spacing w:val="4"/>
          <w:sz w:val="28"/>
          <w:szCs w:val="28"/>
        </w:rPr>
        <w:t>:</w:t>
      </w:r>
      <w:r w:rsidR="00371320">
        <w:rPr>
          <w:rFonts w:ascii="Times New Roman" w:eastAsia="Calibri" w:hAnsi="Times New Roman" w:cs="Times New Roman"/>
          <w:spacing w:val="4"/>
          <w:sz w:val="28"/>
          <w:szCs w:val="28"/>
        </w:rPr>
        <w:t xml:space="preserve"> </w:t>
      </w:r>
      <w:r w:rsidR="00371320">
        <w:rPr>
          <w:rFonts w:ascii="Times New Roman" w:hAnsi="Times New Roman" w:cs="Times New Roman"/>
          <w:sz w:val="28"/>
          <w:szCs w:val="28"/>
        </w:rPr>
        <w:t xml:space="preserve"> </w:t>
      </w:r>
      <w:hyperlink r:id="rId16" w:history="1">
        <w:r w:rsidR="00371320" w:rsidRPr="00371320">
          <w:rPr>
            <w:rStyle w:val="ac"/>
            <w:rFonts w:ascii="Times New Roman" w:hAnsi="Times New Roman" w:cs="Times New Roman"/>
            <w:color w:val="000000" w:themeColor="text1"/>
            <w:sz w:val="28"/>
            <w:szCs w:val="28"/>
            <w:u w:val="none"/>
          </w:rPr>
          <w:t>https://www.elibrary.ru/item.asp?id=49564556</w:t>
        </w:r>
      </w:hyperlink>
    </w:p>
    <w:p w:rsidR="000F6758" w:rsidRPr="000F6758" w:rsidRDefault="00E75DE8" w:rsidP="000F6758">
      <w:pPr>
        <w:tabs>
          <w:tab w:val="left" w:pos="1276"/>
        </w:tabs>
        <w:spacing w:after="0" w:line="240" w:lineRule="auto"/>
        <w:ind w:firstLine="709"/>
        <w:jc w:val="both"/>
        <w:rPr>
          <w:rFonts w:ascii="Times New Roman" w:hAnsi="Times New Roman" w:cs="Times New Roman"/>
          <w:color w:val="000000" w:themeColor="text1"/>
          <w:sz w:val="28"/>
          <w:szCs w:val="28"/>
        </w:rPr>
      </w:pPr>
      <w:r w:rsidRPr="00E75DE8">
        <w:rPr>
          <w:rFonts w:ascii="Times New Roman" w:hAnsi="Times New Roman" w:cs="Times New Roman"/>
          <w:sz w:val="28"/>
          <w:szCs w:val="28"/>
        </w:rPr>
        <w:t xml:space="preserve">4. </w:t>
      </w:r>
      <w:r w:rsidR="000F6758" w:rsidRPr="000B537B">
        <w:rPr>
          <w:rFonts w:ascii="Times New Roman" w:hAnsi="Times New Roman" w:cs="Times New Roman"/>
          <w:b/>
          <w:sz w:val="28"/>
          <w:szCs w:val="28"/>
        </w:rPr>
        <w:t>Топчубаева</w:t>
      </w:r>
      <w:r w:rsidR="000F6758">
        <w:rPr>
          <w:rFonts w:ascii="Times New Roman" w:hAnsi="Times New Roman" w:cs="Times New Roman"/>
          <w:b/>
          <w:sz w:val="28"/>
          <w:szCs w:val="28"/>
        </w:rPr>
        <w:t>,</w:t>
      </w:r>
      <w:r w:rsidR="000F6758" w:rsidRPr="000B537B">
        <w:rPr>
          <w:rFonts w:ascii="Times New Roman" w:hAnsi="Times New Roman" w:cs="Times New Roman"/>
          <w:b/>
          <w:sz w:val="28"/>
          <w:szCs w:val="28"/>
        </w:rPr>
        <w:t xml:space="preserve"> Э.</w:t>
      </w:r>
      <w:r w:rsidR="000F6758">
        <w:rPr>
          <w:rFonts w:ascii="Times New Roman" w:hAnsi="Times New Roman" w:cs="Times New Roman"/>
          <w:b/>
          <w:sz w:val="28"/>
          <w:szCs w:val="28"/>
        </w:rPr>
        <w:t xml:space="preserve"> </w:t>
      </w:r>
      <w:r w:rsidRPr="00E75DE8">
        <w:rPr>
          <w:rFonts w:ascii="Times New Roman" w:hAnsi="Times New Roman" w:cs="Times New Roman"/>
          <w:sz w:val="28"/>
          <w:szCs w:val="28"/>
        </w:rPr>
        <w:t xml:space="preserve">Загрязнение атмосферы, как важнейший фактор нарушений состояния здоровья человека </w:t>
      </w:r>
      <w:r w:rsidR="000F6758">
        <w:rPr>
          <w:rFonts w:ascii="Times New Roman" w:hAnsi="Times New Roman" w:cs="Times New Roman"/>
          <w:sz w:val="28"/>
          <w:szCs w:val="28"/>
        </w:rPr>
        <w:t xml:space="preserve"> </w:t>
      </w:r>
      <w:r w:rsidR="000F6758" w:rsidRPr="000B537B">
        <w:rPr>
          <w:rFonts w:ascii="Times New Roman" w:hAnsi="Times New Roman" w:cs="Times New Roman"/>
          <w:sz w:val="28"/>
          <w:szCs w:val="28"/>
        </w:rPr>
        <w:t>[</w:t>
      </w:r>
      <w:r w:rsidR="000F6758">
        <w:rPr>
          <w:rFonts w:ascii="Times New Roman" w:hAnsi="Times New Roman" w:cs="Times New Roman"/>
          <w:sz w:val="28"/>
          <w:szCs w:val="28"/>
        </w:rPr>
        <w:t xml:space="preserve">Текст / Э. Т. Топчубаева, Р. К. Калматов, Ж. К. Муратов  // Вестник Кыргызско-Российского Славянского университета. – 2022. – Т. 22, № 1. – С. 198-204; </w:t>
      </w:r>
      <w:r w:rsidR="000F6758" w:rsidRPr="000D1FBB">
        <w:rPr>
          <w:rFonts w:ascii="Times New Roman" w:eastAsia="Calibri" w:hAnsi="Times New Roman" w:cs="Times New Roman"/>
          <w:spacing w:val="4"/>
          <w:sz w:val="28"/>
          <w:szCs w:val="28"/>
          <w:lang w:val="ky-KG"/>
        </w:rPr>
        <w:t xml:space="preserve">То же: </w:t>
      </w:r>
      <w:r w:rsidR="000F6758" w:rsidRPr="000D1FBB">
        <w:rPr>
          <w:rFonts w:ascii="Times New Roman" w:eastAsia="Calibri" w:hAnsi="Times New Roman" w:cs="Times New Roman"/>
          <w:spacing w:val="4"/>
          <w:sz w:val="28"/>
          <w:szCs w:val="28"/>
        </w:rPr>
        <w:t xml:space="preserve">[Электронный ресурс]. – Режим доступа: </w:t>
      </w:r>
      <w:r w:rsidR="000F6758" w:rsidRPr="000D1FBB">
        <w:rPr>
          <w:rFonts w:ascii="Times New Roman" w:eastAsia="Calibri" w:hAnsi="Times New Roman" w:cs="Times New Roman"/>
          <w:spacing w:val="4"/>
          <w:sz w:val="28"/>
          <w:szCs w:val="28"/>
          <w:lang w:val="en-US"/>
        </w:rPr>
        <w:t>URL</w:t>
      </w:r>
      <w:r w:rsidR="000F6758" w:rsidRPr="000D1FBB">
        <w:rPr>
          <w:rFonts w:ascii="Times New Roman" w:eastAsia="Calibri" w:hAnsi="Times New Roman" w:cs="Times New Roman"/>
          <w:spacing w:val="4"/>
          <w:sz w:val="28"/>
          <w:szCs w:val="28"/>
        </w:rPr>
        <w:t>:</w:t>
      </w:r>
      <w:r w:rsidR="000F6758">
        <w:rPr>
          <w:rFonts w:ascii="Times New Roman" w:eastAsia="Calibri" w:hAnsi="Times New Roman" w:cs="Times New Roman"/>
          <w:spacing w:val="4"/>
          <w:sz w:val="28"/>
          <w:szCs w:val="28"/>
        </w:rPr>
        <w:t xml:space="preserve"> </w:t>
      </w:r>
      <w:r w:rsidRPr="00E75DE8">
        <w:rPr>
          <w:rFonts w:ascii="Times New Roman" w:hAnsi="Times New Roman" w:cs="Times New Roman"/>
          <w:sz w:val="28"/>
          <w:szCs w:val="28"/>
        </w:rPr>
        <w:t xml:space="preserve"> </w:t>
      </w:r>
      <w:hyperlink r:id="rId17" w:history="1">
        <w:r w:rsidR="000F6758" w:rsidRPr="000F6758">
          <w:rPr>
            <w:rStyle w:val="ac"/>
            <w:rFonts w:ascii="Times New Roman" w:hAnsi="Times New Roman" w:cs="Times New Roman"/>
            <w:color w:val="000000" w:themeColor="text1"/>
            <w:sz w:val="28"/>
            <w:szCs w:val="28"/>
            <w:u w:val="none"/>
            <w:lang w:val="en-US"/>
          </w:rPr>
          <w:t>https</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www</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elibrary</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ru</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item</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asp</w:t>
        </w:r>
        <w:r w:rsidR="000F6758" w:rsidRPr="000F6758">
          <w:rPr>
            <w:rStyle w:val="ac"/>
            <w:rFonts w:ascii="Times New Roman" w:hAnsi="Times New Roman" w:cs="Times New Roman"/>
            <w:color w:val="000000" w:themeColor="text1"/>
            <w:sz w:val="28"/>
            <w:szCs w:val="28"/>
            <w:u w:val="none"/>
          </w:rPr>
          <w:t>?</w:t>
        </w:r>
        <w:r w:rsidR="000F6758" w:rsidRPr="000F6758">
          <w:rPr>
            <w:rStyle w:val="ac"/>
            <w:rFonts w:ascii="Times New Roman" w:hAnsi="Times New Roman" w:cs="Times New Roman"/>
            <w:color w:val="000000" w:themeColor="text1"/>
            <w:sz w:val="28"/>
            <w:szCs w:val="28"/>
            <w:u w:val="none"/>
            <w:lang w:val="en-US"/>
          </w:rPr>
          <w:t>id</w:t>
        </w:r>
        <w:r w:rsidR="000F6758" w:rsidRPr="000F6758">
          <w:rPr>
            <w:rStyle w:val="ac"/>
            <w:rFonts w:ascii="Times New Roman" w:hAnsi="Times New Roman" w:cs="Times New Roman"/>
            <w:color w:val="000000" w:themeColor="text1"/>
            <w:sz w:val="28"/>
            <w:szCs w:val="28"/>
            <w:u w:val="none"/>
          </w:rPr>
          <w:t>=48164464</w:t>
        </w:r>
      </w:hyperlink>
    </w:p>
    <w:p w:rsidR="00D67E5D" w:rsidRPr="00D67E5D" w:rsidRDefault="00E75DE8" w:rsidP="00B06034">
      <w:pPr>
        <w:tabs>
          <w:tab w:val="left" w:pos="1276"/>
        </w:tabs>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 xml:space="preserve">5. </w:t>
      </w:r>
      <w:r w:rsidR="008A2835" w:rsidRPr="000B537B">
        <w:rPr>
          <w:rFonts w:ascii="Times New Roman" w:hAnsi="Times New Roman" w:cs="Times New Roman"/>
          <w:b/>
          <w:sz w:val="28"/>
          <w:szCs w:val="28"/>
        </w:rPr>
        <w:t>Топчубаева</w:t>
      </w:r>
      <w:r w:rsidR="008A2835">
        <w:rPr>
          <w:rFonts w:ascii="Times New Roman" w:hAnsi="Times New Roman" w:cs="Times New Roman"/>
          <w:b/>
          <w:sz w:val="28"/>
          <w:szCs w:val="28"/>
        </w:rPr>
        <w:t>,</w:t>
      </w:r>
      <w:r w:rsidR="008A2835" w:rsidRPr="000B537B">
        <w:rPr>
          <w:rFonts w:ascii="Times New Roman" w:hAnsi="Times New Roman" w:cs="Times New Roman"/>
          <w:b/>
          <w:sz w:val="28"/>
          <w:szCs w:val="28"/>
        </w:rPr>
        <w:t xml:space="preserve"> Э.</w:t>
      </w:r>
      <w:r w:rsidR="008A2835">
        <w:rPr>
          <w:rFonts w:ascii="Times New Roman" w:hAnsi="Times New Roman" w:cs="Times New Roman"/>
          <w:b/>
          <w:sz w:val="28"/>
          <w:szCs w:val="28"/>
        </w:rPr>
        <w:t xml:space="preserve">  </w:t>
      </w:r>
      <w:r w:rsidRPr="00E75DE8">
        <w:rPr>
          <w:rFonts w:ascii="Times New Roman" w:hAnsi="Times New Roman" w:cs="Times New Roman"/>
          <w:sz w:val="28"/>
          <w:szCs w:val="28"/>
        </w:rPr>
        <w:t xml:space="preserve">Изучения иммунного статуса населения Кыргызстана, проживающего в условиях  воздействия загрязнителей атмосферного воздуха. </w:t>
      </w:r>
      <w:r w:rsidR="008A2835" w:rsidRPr="000B537B">
        <w:rPr>
          <w:rFonts w:ascii="Times New Roman" w:hAnsi="Times New Roman" w:cs="Times New Roman"/>
          <w:sz w:val="28"/>
          <w:szCs w:val="28"/>
        </w:rPr>
        <w:t>[</w:t>
      </w:r>
      <w:r w:rsidR="008A2835">
        <w:rPr>
          <w:rFonts w:ascii="Times New Roman" w:hAnsi="Times New Roman" w:cs="Times New Roman"/>
          <w:sz w:val="28"/>
          <w:szCs w:val="28"/>
        </w:rPr>
        <w:t>Текст</w:t>
      </w:r>
      <w:r w:rsidR="008A2835" w:rsidRPr="000B537B">
        <w:rPr>
          <w:rFonts w:ascii="Times New Roman" w:hAnsi="Times New Roman" w:cs="Times New Roman"/>
          <w:sz w:val="28"/>
          <w:szCs w:val="28"/>
        </w:rPr>
        <w:t>]</w:t>
      </w:r>
      <w:r w:rsidR="008A2835" w:rsidRPr="00E75DE8">
        <w:rPr>
          <w:rFonts w:ascii="Times New Roman" w:hAnsi="Times New Roman" w:cs="Times New Roman"/>
          <w:sz w:val="28"/>
          <w:szCs w:val="28"/>
        </w:rPr>
        <w:t xml:space="preserve"> </w:t>
      </w:r>
      <w:r w:rsidR="008A2835">
        <w:rPr>
          <w:rFonts w:ascii="Times New Roman" w:hAnsi="Times New Roman" w:cs="Times New Roman"/>
          <w:sz w:val="28"/>
          <w:szCs w:val="28"/>
        </w:rPr>
        <w:t xml:space="preserve">/ </w:t>
      </w:r>
      <w:r w:rsidR="008A2835" w:rsidRPr="008A2835">
        <w:rPr>
          <w:rFonts w:ascii="Times New Roman" w:hAnsi="Times New Roman" w:cs="Times New Roman"/>
          <w:sz w:val="28"/>
          <w:szCs w:val="28"/>
        </w:rPr>
        <w:t>[</w:t>
      </w:r>
      <w:r w:rsidR="008A2835">
        <w:rPr>
          <w:rFonts w:ascii="Times New Roman" w:hAnsi="Times New Roman" w:cs="Times New Roman"/>
          <w:sz w:val="28"/>
          <w:szCs w:val="28"/>
        </w:rPr>
        <w:t>Э. Т. Топчубаева, Р. К. Калматов, Ж. Д. Абдуллаева и др.</w:t>
      </w:r>
      <w:r w:rsidR="008A2835" w:rsidRPr="008A2835">
        <w:rPr>
          <w:rFonts w:ascii="Times New Roman" w:hAnsi="Times New Roman" w:cs="Times New Roman"/>
          <w:sz w:val="28"/>
          <w:szCs w:val="28"/>
        </w:rPr>
        <w:t>]. //</w:t>
      </w:r>
      <w:r w:rsidR="008A2835">
        <w:rPr>
          <w:rFonts w:ascii="Times New Roman" w:hAnsi="Times New Roman" w:cs="Times New Roman"/>
          <w:sz w:val="28"/>
          <w:szCs w:val="28"/>
        </w:rPr>
        <w:t xml:space="preserve"> </w:t>
      </w:r>
      <w:r w:rsidR="008A2835" w:rsidRPr="00E75DE8">
        <w:rPr>
          <w:rFonts w:ascii="Times New Roman" w:hAnsi="Times New Roman" w:cs="Times New Roman"/>
          <w:sz w:val="28"/>
          <w:szCs w:val="28"/>
        </w:rPr>
        <w:t>Бюллетень науки и практики</w:t>
      </w:r>
      <w:r w:rsidR="008A2835">
        <w:rPr>
          <w:rFonts w:ascii="Times New Roman" w:hAnsi="Times New Roman" w:cs="Times New Roman"/>
          <w:sz w:val="28"/>
          <w:szCs w:val="28"/>
        </w:rPr>
        <w:t>. – Нижневартовск,  202</w:t>
      </w:r>
      <w:r w:rsidR="008A2835" w:rsidRPr="008A2835">
        <w:rPr>
          <w:rFonts w:ascii="Times New Roman" w:hAnsi="Times New Roman" w:cs="Times New Roman"/>
          <w:sz w:val="28"/>
          <w:szCs w:val="28"/>
        </w:rPr>
        <w:t>3</w:t>
      </w:r>
      <w:r w:rsidR="008A2835">
        <w:rPr>
          <w:rFonts w:ascii="Times New Roman" w:hAnsi="Times New Roman" w:cs="Times New Roman"/>
          <w:sz w:val="28"/>
          <w:szCs w:val="28"/>
        </w:rPr>
        <w:t xml:space="preserve">. – Т. </w:t>
      </w:r>
      <w:r w:rsidR="008A2835" w:rsidRPr="008A2835">
        <w:rPr>
          <w:rFonts w:ascii="Times New Roman" w:hAnsi="Times New Roman" w:cs="Times New Roman"/>
          <w:sz w:val="28"/>
          <w:szCs w:val="28"/>
        </w:rPr>
        <w:t>9</w:t>
      </w:r>
      <w:r w:rsidR="008A2835">
        <w:rPr>
          <w:rFonts w:ascii="Times New Roman" w:hAnsi="Times New Roman" w:cs="Times New Roman"/>
          <w:sz w:val="28"/>
          <w:szCs w:val="28"/>
        </w:rPr>
        <w:t xml:space="preserve">, № </w:t>
      </w:r>
      <w:r w:rsidR="008A2835" w:rsidRPr="008A2835">
        <w:rPr>
          <w:rFonts w:ascii="Times New Roman" w:hAnsi="Times New Roman" w:cs="Times New Roman"/>
          <w:sz w:val="28"/>
          <w:szCs w:val="28"/>
        </w:rPr>
        <w:t>4</w:t>
      </w:r>
      <w:r w:rsidR="008A2835">
        <w:rPr>
          <w:rFonts w:ascii="Times New Roman" w:hAnsi="Times New Roman" w:cs="Times New Roman"/>
          <w:sz w:val="28"/>
          <w:szCs w:val="28"/>
        </w:rPr>
        <w:t xml:space="preserve">. – С. </w:t>
      </w:r>
      <w:r w:rsidR="008A2835" w:rsidRPr="008A2835">
        <w:rPr>
          <w:rFonts w:ascii="Times New Roman" w:hAnsi="Times New Roman" w:cs="Times New Roman"/>
          <w:sz w:val="28"/>
          <w:szCs w:val="28"/>
        </w:rPr>
        <w:t>237</w:t>
      </w:r>
      <w:r w:rsidR="008A2835">
        <w:rPr>
          <w:rFonts w:ascii="Times New Roman" w:hAnsi="Times New Roman" w:cs="Times New Roman"/>
          <w:sz w:val="28"/>
          <w:szCs w:val="28"/>
        </w:rPr>
        <w:t>-</w:t>
      </w:r>
      <w:r w:rsidR="008A2835" w:rsidRPr="008A2835">
        <w:rPr>
          <w:rFonts w:ascii="Times New Roman" w:hAnsi="Times New Roman" w:cs="Times New Roman"/>
          <w:sz w:val="28"/>
          <w:szCs w:val="28"/>
        </w:rPr>
        <w:t>248</w:t>
      </w:r>
      <w:r w:rsidR="008A2835">
        <w:rPr>
          <w:rFonts w:ascii="Times New Roman" w:hAnsi="Times New Roman" w:cs="Times New Roman"/>
          <w:sz w:val="28"/>
          <w:szCs w:val="28"/>
        </w:rPr>
        <w:t xml:space="preserve">; </w:t>
      </w:r>
      <w:r w:rsidR="008A2835" w:rsidRPr="000D1FBB">
        <w:rPr>
          <w:rFonts w:ascii="Times New Roman" w:eastAsia="Calibri" w:hAnsi="Times New Roman" w:cs="Times New Roman"/>
          <w:spacing w:val="4"/>
          <w:sz w:val="28"/>
          <w:szCs w:val="28"/>
          <w:lang w:val="ky-KG"/>
        </w:rPr>
        <w:t xml:space="preserve">То же: </w:t>
      </w:r>
      <w:r w:rsidR="008A2835" w:rsidRPr="000D1FBB">
        <w:rPr>
          <w:rFonts w:ascii="Times New Roman" w:eastAsia="Calibri" w:hAnsi="Times New Roman" w:cs="Times New Roman"/>
          <w:spacing w:val="4"/>
          <w:sz w:val="28"/>
          <w:szCs w:val="28"/>
        </w:rPr>
        <w:t xml:space="preserve">[Электронный ресурс]. – Режим доступа: </w:t>
      </w:r>
      <w:r w:rsidR="008A2835" w:rsidRPr="000D1FBB">
        <w:rPr>
          <w:rFonts w:ascii="Times New Roman" w:eastAsia="Calibri" w:hAnsi="Times New Roman" w:cs="Times New Roman"/>
          <w:spacing w:val="4"/>
          <w:sz w:val="28"/>
          <w:szCs w:val="28"/>
          <w:lang w:val="en-US"/>
        </w:rPr>
        <w:t>URL</w:t>
      </w:r>
      <w:r w:rsidR="008A2835" w:rsidRPr="000D1FBB">
        <w:rPr>
          <w:rFonts w:ascii="Times New Roman" w:eastAsia="Calibri" w:hAnsi="Times New Roman" w:cs="Times New Roman"/>
          <w:spacing w:val="4"/>
          <w:sz w:val="28"/>
          <w:szCs w:val="28"/>
        </w:rPr>
        <w:t>:</w:t>
      </w:r>
      <w:r w:rsidR="00D67E5D" w:rsidRPr="00D67E5D">
        <w:rPr>
          <w:rFonts w:ascii="Times New Roman" w:eastAsia="Calibri" w:hAnsi="Times New Roman" w:cs="Times New Roman"/>
          <w:spacing w:val="4"/>
          <w:sz w:val="28"/>
          <w:szCs w:val="28"/>
        </w:rPr>
        <w:t xml:space="preserve"> </w:t>
      </w:r>
      <w:hyperlink r:id="rId18" w:history="1">
        <w:r w:rsidR="00D67E5D" w:rsidRPr="00D67E5D">
          <w:rPr>
            <w:rStyle w:val="ac"/>
            <w:rFonts w:ascii="Times New Roman" w:hAnsi="Times New Roman" w:cs="Times New Roman"/>
            <w:color w:val="000000" w:themeColor="text1"/>
            <w:sz w:val="28"/>
            <w:szCs w:val="28"/>
            <w:u w:val="none"/>
            <w:lang w:val="en-US"/>
          </w:rPr>
          <w:t>https</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www</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elibrary</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ru</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item</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asp</w:t>
        </w:r>
        <w:r w:rsidR="00D67E5D" w:rsidRPr="00D67E5D">
          <w:rPr>
            <w:rStyle w:val="ac"/>
            <w:rFonts w:ascii="Times New Roman" w:hAnsi="Times New Roman" w:cs="Times New Roman"/>
            <w:color w:val="000000" w:themeColor="text1"/>
            <w:sz w:val="28"/>
            <w:szCs w:val="28"/>
            <w:u w:val="none"/>
          </w:rPr>
          <w:t>?</w:t>
        </w:r>
        <w:r w:rsidR="00D67E5D" w:rsidRPr="00D67E5D">
          <w:rPr>
            <w:rStyle w:val="ac"/>
            <w:rFonts w:ascii="Times New Roman" w:hAnsi="Times New Roman" w:cs="Times New Roman"/>
            <w:color w:val="000000" w:themeColor="text1"/>
            <w:sz w:val="28"/>
            <w:szCs w:val="28"/>
            <w:u w:val="none"/>
            <w:lang w:val="en-US"/>
          </w:rPr>
          <w:t>id</w:t>
        </w:r>
        <w:r w:rsidR="00D67E5D" w:rsidRPr="00D67E5D">
          <w:rPr>
            <w:rStyle w:val="ac"/>
            <w:rFonts w:ascii="Times New Roman" w:hAnsi="Times New Roman" w:cs="Times New Roman"/>
            <w:color w:val="000000" w:themeColor="text1"/>
            <w:sz w:val="28"/>
            <w:szCs w:val="28"/>
            <w:u w:val="none"/>
          </w:rPr>
          <w:t>=50757831</w:t>
        </w:r>
      </w:hyperlink>
    </w:p>
    <w:p w:rsidR="003E522E" w:rsidRPr="003E522E" w:rsidRDefault="00E75DE8" w:rsidP="0014685F">
      <w:pPr>
        <w:spacing w:after="0"/>
        <w:jc w:val="both"/>
        <w:rPr>
          <w:rFonts w:ascii="Times New Roman" w:hAnsi="Times New Roman" w:cs="Times New Roman"/>
          <w:color w:val="000000" w:themeColor="text1"/>
          <w:sz w:val="28"/>
          <w:szCs w:val="28"/>
          <w:lang w:val="en-US"/>
        </w:rPr>
      </w:pPr>
      <w:r w:rsidRPr="00E75DE8">
        <w:rPr>
          <w:rFonts w:ascii="Times New Roman" w:hAnsi="Times New Roman" w:cs="Times New Roman"/>
          <w:sz w:val="28"/>
          <w:szCs w:val="28"/>
          <w:lang w:val="en-US"/>
        </w:rPr>
        <w:t xml:space="preserve">6. </w:t>
      </w:r>
      <w:r w:rsidR="001D5142" w:rsidRPr="001D5142">
        <w:rPr>
          <w:rFonts w:ascii="Times New Roman" w:hAnsi="Times New Roman" w:cs="Times New Roman"/>
          <w:b/>
          <w:sz w:val="28"/>
          <w:szCs w:val="28"/>
          <w:lang w:val="en-US"/>
        </w:rPr>
        <w:t>Ismailov, I. Dz.</w:t>
      </w:r>
      <w:r w:rsidR="001D5142">
        <w:rPr>
          <w:rFonts w:ascii="Times New Roman" w:hAnsi="Times New Roman" w:cs="Times New Roman"/>
          <w:sz w:val="28"/>
          <w:szCs w:val="28"/>
          <w:lang w:val="en-US"/>
        </w:rPr>
        <w:t xml:space="preserve">  </w:t>
      </w:r>
      <w:r w:rsidRPr="00E75DE8">
        <w:rPr>
          <w:rFonts w:ascii="Times New Roman" w:hAnsi="Times New Roman" w:cs="Times New Roman"/>
          <w:sz w:val="28"/>
          <w:szCs w:val="28"/>
          <w:lang w:val="en-US"/>
        </w:rPr>
        <w:t>Cytological and microbiological parameters of the mucous membrane of the upper respiratory tract in the patients with frequent acute respiratory diseases and those with allergic rhinitis (bronchial asthma)</w:t>
      </w:r>
      <w:r w:rsidR="001D5142" w:rsidRPr="001D5142">
        <w:rPr>
          <w:rFonts w:ascii="Times New Roman" w:hAnsi="Times New Roman" w:cs="Times New Roman"/>
          <w:sz w:val="28"/>
          <w:szCs w:val="28"/>
          <w:lang w:val="en-US"/>
        </w:rPr>
        <w:t xml:space="preserve"> [</w:t>
      </w:r>
      <w:r w:rsidR="001D5142">
        <w:rPr>
          <w:rFonts w:ascii="Times New Roman" w:hAnsi="Times New Roman" w:cs="Times New Roman"/>
          <w:sz w:val="28"/>
          <w:szCs w:val="28"/>
          <w:lang w:val="en-US"/>
        </w:rPr>
        <w:t>Text</w:t>
      </w:r>
      <w:r w:rsidR="001D5142" w:rsidRPr="001D5142">
        <w:rPr>
          <w:rFonts w:ascii="Times New Roman" w:hAnsi="Times New Roman" w:cs="Times New Roman"/>
          <w:sz w:val="28"/>
          <w:szCs w:val="28"/>
          <w:lang w:val="en-US"/>
        </w:rPr>
        <w:t>] / [</w:t>
      </w:r>
      <w:r w:rsidR="001D5142">
        <w:rPr>
          <w:rFonts w:ascii="Times New Roman" w:hAnsi="Times New Roman" w:cs="Times New Roman"/>
          <w:sz w:val="28"/>
          <w:szCs w:val="28"/>
          <w:lang w:val="en-US"/>
        </w:rPr>
        <w:t>I. Dz. Ismailov, R. M. Azhimamatova, R. Ch. Salieva at al</w:t>
      </w:r>
      <w:r w:rsidR="001D5142" w:rsidRPr="001D5142">
        <w:rPr>
          <w:rFonts w:ascii="Times New Roman" w:hAnsi="Times New Roman" w:cs="Times New Roman"/>
          <w:sz w:val="28"/>
          <w:szCs w:val="28"/>
          <w:lang w:val="en-US"/>
        </w:rPr>
        <w:t xml:space="preserve">.]. // </w:t>
      </w:r>
      <w:r w:rsidRPr="00E75DE8">
        <w:rPr>
          <w:rFonts w:ascii="Times New Roman" w:hAnsi="Times New Roman" w:cs="Times New Roman"/>
          <w:sz w:val="28"/>
          <w:szCs w:val="28"/>
          <w:lang w:val="en-US"/>
        </w:rPr>
        <w:t>EurAsian Journal of BioSciences Eurasia J Biosci</w:t>
      </w:r>
      <w:r w:rsidR="003E522E" w:rsidRPr="003E522E">
        <w:rPr>
          <w:rFonts w:ascii="Times New Roman" w:hAnsi="Times New Roman" w:cs="Times New Roman"/>
          <w:sz w:val="28"/>
          <w:szCs w:val="28"/>
          <w:lang w:val="en-US"/>
        </w:rPr>
        <w:t>. -</w:t>
      </w:r>
      <w:r w:rsidR="003A3BA4">
        <w:rPr>
          <w:rFonts w:ascii="Times New Roman" w:hAnsi="Times New Roman" w:cs="Times New Roman"/>
          <w:sz w:val="28"/>
          <w:szCs w:val="28"/>
          <w:lang w:val="en-US"/>
        </w:rPr>
        <w:t xml:space="preserve"> </w:t>
      </w:r>
      <w:r w:rsidR="003E522E" w:rsidRPr="00E75DE8">
        <w:rPr>
          <w:rFonts w:ascii="Times New Roman" w:hAnsi="Times New Roman" w:cs="Times New Roman"/>
          <w:sz w:val="28"/>
          <w:szCs w:val="28"/>
          <w:lang w:val="en-US"/>
        </w:rPr>
        <w:t>2020</w:t>
      </w:r>
      <w:r w:rsidR="003E522E" w:rsidRPr="003E522E">
        <w:rPr>
          <w:rFonts w:ascii="Times New Roman" w:hAnsi="Times New Roman" w:cs="Times New Roman"/>
          <w:sz w:val="28"/>
          <w:szCs w:val="28"/>
          <w:lang w:val="en-US"/>
        </w:rPr>
        <w:t xml:space="preserve">. </w:t>
      </w:r>
      <w:r w:rsidR="003E522E" w:rsidRPr="003E522E">
        <w:rPr>
          <w:rFonts w:ascii="Times New Roman" w:hAnsi="Times New Roman" w:cs="Times New Roman"/>
          <w:color w:val="000000" w:themeColor="text1"/>
          <w:sz w:val="28"/>
          <w:szCs w:val="28"/>
          <w:lang w:val="en-US"/>
        </w:rPr>
        <w:t>– V</w:t>
      </w:r>
      <w:r w:rsidR="003E522E">
        <w:rPr>
          <w:rFonts w:ascii="Times New Roman" w:hAnsi="Times New Roman" w:cs="Times New Roman"/>
          <w:color w:val="000000" w:themeColor="text1"/>
          <w:sz w:val="28"/>
          <w:szCs w:val="28"/>
          <w:lang w:val="en-US"/>
        </w:rPr>
        <w:t>ol</w:t>
      </w:r>
      <w:r w:rsidR="003E522E" w:rsidRPr="003E522E">
        <w:rPr>
          <w:rFonts w:ascii="Times New Roman" w:hAnsi="Times New Roman" w:cs="Times New Roman"/>
          <w:color w:val="000000" w:themeColor="text1"/>
          <w:sz w:val="28"/>
          <w:szCs w:val="28"/>
          <w:lang w:val="en-US"/>
        </w:rPr>
        <w:t xml:space="preserve">. 14, I. 2. – </w:t>
      </w:r>
      <w:r w:rsidR="003E522E">
        <w:rPr>
          <w:rFonts w:ascii="Times New Roman" w:hAnsi="Times New Roman" w:cs="Times New Roman"/>
          <w:color w:val="000000" w:themeColor="text1"/>
          <w:sz w:val="28"/>
          <w:szCs w:val="28"/>
        </w:rPr>
        <w:t>Р</w:t>
      </w:r>
      <w:r w:rsidR="003E522E" w:rsidRPr="003E522E">
        <w:rPr>
          <w:rFonts w:ascii="Times New Roman" w:hAnsi="Times New Roman" w:cs="Times New Roman"/>
          <w:color w:val="000000" w:themeColor="text1"/>
          <w:sz w:val="28"/>
          <w:szCs w:val="28"/>
          <w:lang w:val="en-US"/>
        </w:rPr>
        <w:t xml:space="preserve">. </w:t>
      </w:r>
      <w:r w:rsidR="003E522E">
        <w:rPr>
          <w:rFonts w:ascii="Times New Roman" w:hAnsi="Times New Roman" w:cs="Times New Roman"/>
          <w:color w:val="000000" w:themeColor="text1"/>
          <w:sz w:val="28"/>
          <w:szCs w:val="28"/>
          <w:lang w:val="en-US"/>
        </w:rPr>
        <w:t>6869-6875</w:t>
      </w:r>
      <w:r w:rsidR="003E522E" w:rsidRPr="003E522E">
        <w:rPr>
          <w:rFonts w:ascii="Times New Roman" w:hAnsi="Times New Roman" w:cs="Times New Roman"/>
          <w:color w:val="000000" w:themeColor="text1"/>
          <w:sz w:val="28"/>
          <w:szCs w:val="28"/>
          <w:lang w:val="en-US"/>
        </w:rPr>
        <w:t>;</w:t>
      </w:r>
      <w:r w:rsidR="003E522E">
        <w:rPr>
          <w:rFonts w:ascii="Times New Roman" w:hAnsi="Times New Roman" w:cs="Times New Roman"/>
          <w:color w:val="000000" w:themeColor="text1"/>
          <w:sz w:val="28"/>
          <w:szCs w:val="28"/>
          <w:lang w:val="en-US"/>
        </w:rPr>
        <w:t xml:space="preserve"> </w:t>
      </w:r>
      <w:r w:rsidR="003E522E" w:rsidRPr="000D1FBB">
        <w:rPr>
          <w:rFonts w:ascii="Times New Roman" w:eastAsia="Calibri" w:hAnsi="Times New Roman" w:cs="Times New Roman"/>
          <w:spacing w:val="4"/>
          <w:sz w:val="28"/>
          <w:szCs w:val="28"/>
          <w:lang w:val="ky-KG"/>
        </w:rPr>
        <w:t xml:space="preserve">То же: </w:t>
      </w:r>
      <w:r w:rsidR="003E522E" w:rsidRPr="003E522E">
        <w:rPr>
          <w:rFonts w:ascii="Times New Roman" w:eastAsia="Calibri" w:hAnsi="Times New Roman" w:cs="Times New Roman"/>
          <w:spacing w:val="4"/>
          <w:sz w:val="28"/>
          <w:szCs w:val="28"/>
          <w:lang w:val="en-US"/>
        </w:rPr>
        <w:t>[</w:t>
      </w:r>
      <w:r w:rsidR="003E522E" w:rsidRPr="000D1FBB">
        <w:rPr>
          <w:rFonts w:ascii="Times New Roman" w:eastAsia="Calibri" w:hAnsi="Times New Roman" w:cs="Times New Roman"/>
          <w:spacing w:val="4"/>
          <w:sz w:val="28"/>
          <w:szCs w:val="28"/>
        </w:rPr>
        <w:t>Электронный</w:t>
      </w:r>
      <w:r w:rsidR="003E522E" w:rsidRPr="003E522E">
        <w:rPr>
          <w:rFonts w:ascii="Times New Roman" w:eastAsia="Calibri" w:hAnsi="Times New Roman" w:cs="Times New Roman"/>
          <w:spacing w:val="4"/>
          <w:sz w:val="28"/>
          <w:szCs w:val="28"/>
          <w:lang w:val="en-US"/>
        </w:rPr>
        <w:t xml:space="preserve"> </w:t>
      </w:r>
      <w:r w:rsidR="003E522E" w:rsidRPr="000D1FBB">
        <w:rPr>
          <w:rFonts w:ascii="Times New Roman" w:eastAsia="Calibri" w:hAnsi="Times New Roman" w:cs="Times New Roman"/>
          <w:spacing w:val="4"/>
          <w:sz w:val="28"/>
          <w:szCs w:val="28"/>
        </w:rPr>
        <w:t>ресурс</w:t>
      </w:r>
      <w:r w:rsidR="003E522E" w:rsidRPr="003E522E">
        <w:rPr>
          <w:rFonts w:ascii="Times New Roman" w:eastAsia="Calibri" w:hAnsi="Times New Roman" w:cs="Times New Roman"/>
          <w:spacing w:val="4"/>
          <w:sz w:val="28"/>
          <w:szCs w:val="28"/>
          <w:lang w:val="en-US"/>
        </w:rPr>
        <w:t xml:space="preserve">]. – </w:t>
      </w:r>
      <w:r w:rsidR="003E522E" w:rsidRPr="000D1FBB">
        <w:rPr>
          <w:rFonts w:ascii="Times New Roman" w:eastAsia="Calibri" w:hAnsi="Times New Roman" w:cs="Times New Roman"/>
          <w:spacing w:val="4"/>
          <w:sz w:val="28"/>
          <w:szCs w:val="28"/>
        </w:rPr>
        <w:t>Режим</w:t>
      </w:r>
      <w:r w:rsidR="003E522E" w:rsidRPr="003E522E">
        <w:rPr>
          <w:rFonts w:ascii="Times New Roman" w:eastAsia="Calibri" w:hAnsi="Times New Roman" w:cs="Times New Roman"/>
          <w:spacing w:val="4"/>
          <w:sz w:val="28"/>
          <w:szCs w:val="28"/>
          <w:lang w:val="en-US"/>
        </w:rPr>
        <w:t xml:space="preserve"> </w:t>
      </w:r>
      <w:r w:rsidR="003E522E" w:rsidRPr="000D1FBB">
        <w:rPr>
          <w:rFonts w:ascii="Times New Roman" w:eastAsia="Calibri" w:hAnsi="Times New Roman" w:cs="Times New Roman"/>
          <w:spacing w:val="4"/>
          <w:sz w:val="28"/>
          <w:szCs w:val="28"/>
        </w:rPr>
        <w:t>доступа</w:t>
      </w:r>
      <w:r w:rsidR="003E522E" w:rsidRPr="003E522E">
        <w:rPr>
          <w:rFonts w:ascii="Times New Roman" w:eastAsia="Calibri" w:hAnsi="Times New Roman" w:cs="Times New Roman"/>
          <w:spacing w:val="4"/>
          <w:sz w:val="28"/>
          <w:szCs w:val="28"/>
          <w:lang w:val="en-US"/>
        </w:rPr>
        <w:t xml:space="preserve">: </w:t>
      </w:r>
      <w:r w:rsidR="003E522E" w:rsidRPr="000D1FBB">
        <w:rPr>
          <w:rFonts w:ascii="Times New Roman" w:eastAsia="Calibri" w:hAnsi="Times New Roman" w:cs="Times New Roman"/>
          <w:spacing w:val="4"/>
          <w:sz w:val="28"/>
          <w:szCs w:val="28"/>
          <w:lang w:val="en-US"/>
        </w:rPr>
        <w:t>URL</w:t>
      </w:r>
      <w:r w:rsidR="003E522E" w:rsidRPr="003E522E">
        <w:rPr>
          <w:rFonts w:ascii="Times New Roman" w:eastAsia="Calibri" w:hAnsi="Times New Roman" w:cs="Times New Roman"/>
          <w:spacing w:val="4"/>
          <w:sz w:val="28"/>
          <w:szCs w:val="28"/>
          <w:lang w:val="en-US"/>
        </w:rPr>
        <w:t xml:space="preserve">: </w:t>
      </w:r>
      <w:r w:rsidR="003A3BA4" w:rsidRPr="003A3BA4">
        <w:rPr>
          <w:rFonts w:ascii="Times New Roman" w:eastAsia="Calibri" w:hAnsi="Times New Roman" w:cs="Times New Roman"/>
          <w:spacing w:val="4"/>
          <w:sz w:val="28"/>
          <w:szCs w:val="28"/>
          <w:lang w:val="en-US"/>
        </w:rPr>
        <w:t>https://research.ebsco.com/c/ylm4lv/search/results?autocorrect=y&amp;q=Cytological%20and%20microbiological%20parameters%20of%20the%20mucous%20membrane%20of%20the%20upper%20respiratory%20tract%20in%20the%20patients%20with%20frequent%20acute%20respiratory%20diseases%20and%20those%20with%20allergic%20rhinitis%20(bronchial%20asthma).</w:t>
      </w:r>
    </w:p>
    <w:p w:rsidR="00E75DE8" w:rsidRPr="00E75DE8" w:rsidRDefault="00E75DE8" w:rsidP="0014685F">
      <w:pPr>
        <w:tabs>
          <w:tab w:val="left" w:pos="1276"/>
        </w:tabs>
        <w:spacing w:after="0" w:line="240" w:lineRule="auto"/>
        <w:ind w:firstLine="709"/>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7.</w:t>
      </w:r>
      <w:r w:rsidR="003A3BA4" w:rsidRPr="003A3BA4">
        <w:rPr>
          <w:rFonts w:ascii="Times New Roman" w:hAnsi="Times New Roman" w:cs="Times New Roman"/>
          <w:sz w:val="28"/>
          <w:szCs w:val="28"/>
          <w:lang w:val="en-US"/>
        </w:rPr>
        <w:t xml:space="preserve"> </w:t>
      </w:r>
      <w:r w:rsidR="003A3BA4" w:rsidRPr="003A3BA4">
        <w:rPr>
          <w:rFonts w:ascii="Times New Roman" w:hAnsi="Times New Roman" w:cs="Times New Roman"/>
          <w:b/>
          <w:sz w:val="28"/>
          <w:szCs w:val="28"/>
          <w:lang w:val="en-US"/>
        </w:rPr>
        <w:t>Erkebaev, T.</w:t>
      </w:r>
      <w:r w:rsidR="003A3BA4">
        <w:rPr>
          <w:rFonts w:ascii="Times New Roman" w:hAnsi="Times New Roman" w:cs="Times New Roman"/>
          <w:sz w:val="28"/>
          <w:szCs w:val="28"/>
          <w:lang w:val="en-US"/>
        </w:rPr>
        <w:t xml:space="preserve"> </w:t>
      </w:r>
      <w:r w:rsidRPr="00E75DE8">
        <w:rPr>
          <w:rFonts w:ascii="Times New Roman" w:hAnsi="Times New Roman" w:cs="Times New Roman"/>
          <w:sz w:val="28"/>
          <w:szCs w:val="28"/>
          <w:lang w:val="en-US"/>
        </w:rPr>
        <w:t>Dust Retention Ability of Plants as a F</w:t>
      </w:r>
      <w:r w:rsidR="003A3BA4">
        <w:rPr>
          <w:rFonts w:ascii="Times New Roman" w:hAnsi="Times New Roman" w:cs="Times New Roman"/>
          <w:sz w:val="28"/>
          <w:szCs w:val="28"/>
          <w:lang w:val="en-US"/>
        </w:rPr>
        <w:t>actor Improving Environment Air</w:t>
      </w:r>
      <w:r w:rsidRPr="00E75DE8">
        <w:rPr>
          <w:rFonts w:ascii="Times New Roman" w:hAnsi="Times New Roman" w:cs="Times New Roman"/>
          <w:sz w:val="28"/>
          <w:szCs w:val="28"/>
          <w:lang w:val="en-US"/>
        </w:rPr>
        <w:t xml:space="preserve"> </w:t>
      </w:r>
      <w:r w:rsidR="003A3BA4" w:rsidRPr="001D5142">
        <w:rPr>
          <w:rFonts w:ascii="Times New Roman" w:hAnsi="Times New Roman" w:cs="Times New Roman"/>
          <w:sz w:val="28"/>
          <w:szCs w:val="28"/>
          <w:lang w:val="en-US"/>
        </w:rPr>
        <w:t>[</w:t>
      </w:r>
      <w:r w:rsidR="003A3BA4">
        <w:rPr>
          <w:rFonts w:ascii="Times New Roman" w:hAnsi="Times New Roman" w:cs="Times New Roman"/>
          <w:sz w:val="28"/>
          <w:szCs w:val="28"/>
          <w:lang w:val="en-US"/>
        </w:rPr>
        <w:t>Text</w:t>
      </w:r>
      <w:r w:rsidR="003A3BA4" w:rsidRPr="001D5142">
        <w:rPr>
          <w:rFonts w:ascii="Times New Roman" w:hAnsi="Times New Roman" w:cs="Times New Roman"/>
          <w:sz w:val="28"/>
          <w:szCs w:val="28"/>
          <w:lang w:val="en-US"/>
        </w:rPr>
        <w:t>] / [</w:t>
      </w:r>
      <w:r w:rsidR="003A3BA4">
        <w:rPr>
          <w:rFonts w:ascii="Times New Roman" w:hAnsi="Times New Roman" w:cs="Times New Roman"/>
          <w:sz w:val="28"/>
          <w:szCs w:val="28"/>
          <w:lang w:val="en-US"/>
        </w:rPr>
        <w:t xml:space="preserve">T. </w:t>
      </w:r>
      <w:r w:rsidR="003A3BA4" w:rsidRPr="003A3BA4">
        <w:rPr>
          <w:rFonts w:ascii="Times New Roman" w:hAnsi="Times New Roman" w:cs="Times New Roman"/>
          <w:sz w:val="28"/>
          <w:szCs w:val="28"/>
          <w:lang w:val="en-US"/>
        </w:rPr>
        <w:t>Erkebaev</w:t>
      </w:r>
      <w:r w:rsidR="003A3BA4">
        <w:rPr>
          <w:rFonts w:ascii="Times New Roman" w:hAnsi="Times New Roman" w:cs="Times New Roman"/>
          <w:sz w:val="28"/>
          <w:szCs w:val="28"/>
          <w:lang w:val="en-US"/>
        </w:rPr>
        <w:t>, Attocurov, A. Satarov at al</w:t>
      </w:r>
      <w:r w:rsidR="003A3BA4" w:rsidRPr="001D5142">
        <w:rPr>
          <w:rFonts w:ascii="Times New Roman" w:hAnsi="Times New Roman" w:cs="Times New Roman"/>
          <w:sz w:val="28"/>
          <w:szCs w:val="28"/>
          <w:lang w:val="en-US"/>
        </w:rPr>
        <w:t>.]. //</w:t>
      </w:r>
      <w:r w:rsidR="003A3BA4" w:rsidRPr="003E522E">
        <w:rPr>
          <w:rFonts w:ascii="Times New Roman" w:hAnsi="Times New Roman" w:cs="Times New Roman"/>
          <w:sz w:val="28"/>
          <w:szCs w:val="28"/>
          <w:lang w:val="en-US"/>
        </w:rPr>
        <w:t xml:space="preserve"> </w:t>
      </w:r>
      <w:r w:rsidR="003A3BA4" w:rsidRPr="00E75DE8">
        <w:rPr>
          <w:rFonts w:ascii="Times New Roman" w:hAnsi="Times New Roman" w:cs="Times New Roman"/>
          <w:sz w:val="28"/>
          <w:szCs w:val="28"/>
          <w:lang w:val="en-US"/>
        </w:rPr>
        <w:t>American Journal of  Plant Sciences</w:t>
      </w:r>
      <w:r w:rsidR="003A3BA4">
        <w:rPr>
          <w:rFonts w:ascii="Times New Roman" w:hAnsi="Times New Roman" w:cs="Times New Roman"/>
          <w:sz w:val="28"/>
          <w:szCs w:val="28"/>
          <w:lang w:val="en-US"/>
        </w:rPr>
        <w:t>/</w:t>
      </w:r>
      <w:r w:rsidR="003A3BA4" w:rsidRPr="00E75DE8">
        <w:rPr>
          <w:rFonts w:ascii="Times New Roman" w:hAnsi="Times New Roman" w:cs="Times New Roman"/>
          <w:sz w:val="28"/>
          <w:szCs w:val="28"/>
          <w:lang w:val="en-US"/>
        </w:rPr>
        <w:t xml:space="preserve"> </w:t>
      </w:r>
      <w:r w:rsidR="003A3BA4" w:rsidRPr="003E522E">
        <w:rPr>
          <w:rFonts w:ascii="Times New Roman" w:hAnsi="Times New Roman" w:cs="Times New Roman"/>
          <w:sz w:val="28"/>
          <w:szCs w:val="28"/>
          <w:lang w:val="en-US"/>
        </w:rPr>
        <w:t xml:space="preserve">- </w:t>
      </w:r>
      <w:r w:rsidR="003A3BA4" w:rsidRPr="00E75DE8">
        <w:rPr>
          <w:rFonts w:ascii="Times New Roman" w:hAnsi="Times New Roman" w:cs="Times New Roman"/>
          <w:sz w:val="28"/>
          <w:szCs w:val="28"/>
          <w:lang w:val="en-US"/>
        </w:rPr>
        <w:t xml:space="preserve"> 202</w:t>
      </w:r>
      <w:r w:rsidR="003A3BA4">
        <w:rPr>
          <w:rFonts w:ascii="Times New Roman" w:hAnsi="Times New Roman" w:cs="Times New Roman"/>
          <w:sz w:val="28"/>
          <w:szCs w:val="28"/>
          <w:lang w:val="en-US"/>
        </w:rPr>
        <w:t>1</w:t>
      </w:r>
      <w:r w:rsidR="003A3BA4" w:rsidRPr="003E522E">
        <w:rPr>
          <w:rFonts w:ascii="Times New Roman" w:hAnsi="Times New Roman" w:cs="Times New Roman"/>
          <w:sz w:val="28"/>
          <w:szCs w:val="28"/>
          <w:lang w:val="en-US"/>
        </w:rPr>
        <w:t xml:space="preserve">. </w:t>
      </w:r>
      <w:r w:rsidR="003A3BA4" w:rsidRPr="003E522E">
        <w:rPr>
          <w:rFonts w:ascii="Times New Roman" w:hAnsi="Times New Roman" w:cs="Times New Roman"/>
          <w:color w:val="000000" w:themeColor="text1"/>
          <w:sz w:val="28"/>
          <w:szCs w:val="28"/>
          <w:lang w:val="en-US"/>
        </w:rPr>
        <w:t>– V</w:t>
      </w:r>
      <w:r w:rsidR="003A3BA4">
        <w:rPr>
          <w:rFonts w:ascii="Times New Roman" w:hAnsi="Times New Roman" w:cs="Times New Roman"/>
          <w:color w:val="000000" w:themeColor="text1"/>
          <w:sz w:val="28"/>
          <w:szCs w:val="28"/>
          <w:lang w:val="en-US"/>
        </w:rPr>
        <w:t>ol</w:t>
      </w:r>
      <w:r w:rsidR="003A3BA4" w:rsidRPr="003E522E">
        <w:rPr>
          <w:rFonts w:ascii="Times New Roman" w:hAnsi="Times New Roman" w:cs="Times New Roman"/>
          <w:color w:val="000000" w:themeColor="text1"/>
          <w:sz w:val="28"/>
          <w:szCs w:val="28"/>
          <w:lang w:val="en-US"/>
        </w:rPr>
        <w:t>. 1</w:t>
      </w:r>
      <w:r w:rsidR="00C94B26" w:rsidRPr="00C94B26">
        <w:rPr>
          <w:rFonts w:ascii="Times New Roman" w:hAnsi="Times New Roman" w:cs="Times New Roman"/>
          <w:color w:val="000000" w:themeColor="text1"/>
          <w:sz w:val="28"/>
          <w:szCs w:val="28"/>
          <w:lang w:val="en-US"/>
        </w:rPr>
        <w:t>2</w:t>
      </w:r>
      <w:r w:rsidR="003A3BA4" w:rsidRPr="003E522E">
        <w:rPr>
          <w:rFonts w:ascii="Times New Roman" w:hAnsi="Times New Roman" w:cs="Times New Roman"/>
          <w:color w:val="000000" w:themeColor="text1"/>
          <w:sz w:val="28"/>
          <w:szCs w:val="28"/>
          <w:lang w:val="en-US"/>
        </w:rPr>
        <w:t xml:space="preserve">, </w:t>
      </w:r>
      <w:r w:rsidR="003A3BA4" w:rsidRPr="003A3BA4">
        <w:rPr>
          <w:rFonts w:ascii="Times New Roman" w:hAnsi="Times New Roman" w:cs="Times New Roman"/>
          <w:color w:val="000000" w:themeColor="text1"/>
          <w:sz w:val="28"/>
          <w:szCs w:val="28"/>
          <w:lang w:val="en-US"/>
        </w:rPr>
        <w:t xml:space="preserve">№ </w:t>
      </w:r>
      <w:r w:rsidR="003A3BA4" w:rsidRPr="003E522E">
        <w:rPr>
          <w:rFonts w:ascii="Times New Roman" w:hAnsi="Times New Roman" w:cs="Times New Roman"/>
          <w:color w:val="000000" w:themeColor="text1"/>
          <w:sz w:val="28"/>
          <w:szCs w:val="28"/>
          <w:lang w:val="en-US"/>
        </w:rPr>
        <w:t xml:space="preserve">2. – </w:t>
      </w:r>
      <w:r w:rsidR="003A3BA4">
        <w:rPr>
          <w:rFonts w:ascii="Times New Roman" w:hAnsi="Times New Roman" w:cs="Times New Roman"/>
          <w:color w:val="000000" w:themeColor="text1"/>
          <w:sz w:val="28"/>
          <w:szCs w:val="28"/>
        </w:rPr>
        <w:t>Р</w:t>
      </w:r>
      <w:r w:rsidR="003A3BA4" w:rsidRPr="003E522E">
        <w:rPr>
          <w:rFonts w:ascii="Times New Roman" w:hAnsi="Times New Roman" w:cs="Times New Roman"/>
          <w:color w:val="000000" w:themeColor="text1"/>
          <w:sz w:val="28"/>
          <w:szCs w:val="28"/>
          <w:lang w:val="en-US"/>
        </w:rPr>
        <w:t xml:space="preserve">. </w:t>
      </w:r>
      <w:r w:rsidR="003A3BA4" w:rsidRPr="00E75DE8">
        <w:rPr>
          <w:rFonts w:ascii="Times New Roman" w:hAnsi="Times New Roman" w:cs="Times New Roman"/>
          <w:sz w:val="28"/>
          <w:szCs w:val="28"/>
          <w:lang w:val="en-US"/>
        </w:rPr>
        <w:t>187-198</w:t>
      </w:r>
      <w:r w:rsidR="003A3BA4" w:rsidRPr="003E522E">
        <w:rPr>
          <w:rFonts w:ascii="Times New Roman" w:hAnsi="Times New Roman" w:cs="Times New Roman"/>
          <w:color w:val="000000" w:themeColor="text1"/>
          <w:sz w:val="28"/>
          <w:szCs w:val="28"/>
          <w:lang w:val="en-US"/>
        </w:rPr>
        <w:t>;</w:t>
      </w:r>
      <w:r w:rsidR="003A3BA4">
        <w:rPr>
          <w:rFonts w:ascii="Times New Roman" w:hAnsi="Times New Roman" w:cs="Times New Roman"/>
          <w:color w:val="000000" w:themeColor="text1"/>
          <w:sz w:val="28"/>
          <w:szCs w:val="28"/>
          <w:lang w:val="en-US"/>
        </w:rPr>
        <w:t xml:space="preserve"> </w:t>
      </w:r>
      <w:r w:rsidR="003A3BA4" w:rsidRPr="000D1FBB">
        <w:rPr>
          <w:rFonts w:ascii="Times New Roman" w:eastAsia="Calibri" w:hAnsi="Times New Roman" w:cs="Times New Roman"/>
          <w:spacing w:val="4"/>
          <w:sz w:val="28"/>
          <w:szCs w:val="28"/>
          <w:lang w:val="ky-KG"/>
        </w:rPr>
        <w:t xml:space="preserve">То же: </w:t>
      </w:r>
      <w:r w:rsidR="003A3BA4" w:rsidRPr="003E522E">
        <w:rPr>
          <w:rFonts w:ascii="Times New Roman" w:eastAsia="Calibri" w:hAnsi="Times New Roman" w:cs="Times New Roman"/>
          <w:spacing w:val="4"/>
          <w:sz w:val="28"/>
          <w:szCs w:val="28"/>
          <w:lang w:val="en-US"/>
        </w:rPr>
        <w:lastRenderedPageBreak/>
        <w:t>[</w:t>
      </w:r>
      <w:r w:rsidR="003A3BA4" w:rsidRPr="000D1FBB">
        <w:rPr>
          <w:rFonts w:ascii="Times New Roman" w:eastAsia="Calibri" w:hAnsi="Times New Roman" w:cs="Times New Roman"/>
          <w:spacing w:val="4"/>
          <w:sz w:val="28"/>
          <w:szCs w:val="28"/>
        </w:rPr>
        <w:t>Электронный</w:t>
      </w:r>
      <w:r w:rsidR="003A3BA4" w:rsidRPr="003E522E">
        <w:rPr>
          <w:rFonts w:ascii="Times New Roman" w:eastAsia="Calibri" w:hAnsi="Times New Roman" w:cs="Times New Roman"/>
          <w:spacing w:val="4"/>
          <w:sz w:val="28"/>
          <w:szCs w:val="28"/>
          <w:lang w:val="en-US"/>
        </w:rPr>
        <w:t xml:space="preserve"> </w:t>
      </w:r>
      <w:r w:rsidR="003A3BA4" w:rsidRPr="000D1FBB">
        <w:rPr>
          <w:rFonts w:ascii="Times New Roman" w:eastAsia="Calibri" w:hAnsi="Times New Roman" w:cs="Times New Roman"/>
          <w:spacing w:val="4"/>
          <w:sz w:val="28"/>
          <w:szCs w:val="28"/>
        </w:rPr>
        <w:t>ресурс</w:t>
      </w:r>
      <w:r w:rsidR="003A3BA4" w:rsidRPr="003E522E">
        <w:rPr>
          <w:rFonts w:ascii="Times New Roman" w:eastAsia="Calibri" w:hAnsi="Times New Roman" w:cs="Times New Roman"/>
          <w:spacing w:val="4"/>
          <w:sz w:val="28"/>
          <w:szCs w:val="28"/>
          <w:lang w:val="en-US"/>
        </w:rPr>
        <w:t xml:space="preserve">]. – </w:t>
      </w:r>
      <w:r w:rsidR="003A3BA4" w:rsidRPr="000D1FBB">
        <w:rPr>
          <w:rFonts w:ascii="Times New Roman" w:eastAsia="Calibri" w:hAnsi="Times New Roman" w:cs="Times New Roman"/>
          <w:spacing w:val="4"/>
          <w:sz w:val="28"/>
          <w:szCs w:val="28"/>
        </w:rPr>
        <w:t>Режим</w:t>
      </w:r>
      <w:r w:rsidR="003A3BA4" w:rsidRPr="003E522E">
        <w:rPr>
          <w:rFonts w:ascii="Times New Roman" w:eastAsia="Calibri" w:hAnsi="Times New Roman" w:cs="Times New Roman"/>
          <w:spacing w:val="4"/>
          <w:sz w:val="28"/>
          <w:szCs w:val="28"/>
          <w:lang w:val="en-US"/>
        </w:rPr>
        <w:t xml:space="preserve"> </w:t>
      </w:r>
      <w:r w:rsidR="003A3BA4" w:rsidRPr="000D1FBB">
        <w:rPr>
          <w:rFonts w:ascii="Times New Roman" w:eastAsia="Calibri" w:hAnsi="Times New Roman" w:cs="Times New Roman"/>
          <w:spacing w:val="4"/>
          <w:sz w:val="28"/>
          <w:szCs w:val="28"/>
        </w:rPr>
        <w:t>доступа</w:t>
      </w:r>
      <w:r w:rsidR="003A3BA4" w:rsidRPr="003E522E">
        <w:rPr>
          <w:rFonts w:ascii="Times New Roman" w:eastAsia="Calibri" w:hAnsi="Times New Roman" w:cs="Times New Roman"/>
          <w:spacing w:val="4"/>
          <w:sz w:val="28"/>
          <w:szCs w:val="28"/>
          <w:lang w:val="en-US"/>
        </w:rPr>
        <w:t xml:space="preserve">: </w:t>
      </w:r>
      <w:r w:rsidRPr="00E75DE8">
        <w:rPr>
          <w:rFonts w:ascii="Times New Roman" w:hAnsi="Times New Roman" w:cs="Times New Roman"/>
          <w:sz w:val="28"/>
          <w:szCs w:val="28"/>
          <w:lang w:val="en-US"/>
        </w:rPr>
        <w:t xml:space="preserve">                           </w:t>
      </w:r>
      <w:r w:rsidR="003A3BA4" w:rsidRPr="003A3BA4">
        <w:rPr>
          <w:rFonts w:ascii="Times New Roman" w:hAnsi="Times New Roman" w:cs="Times New Roman"/>
          <w:sz w:val="28"/>
          <w:szCs w:val="28"/>
          <w:lang w:val="en-US"/>
        </w:rPr>
        <w:t>https://www.scirp.org/journal/paperinformation?paperid=107330</w:t>
      </w:r>
    </w:p>
    <w:p w:rsidR="00E75DE8" w:rsidRPr="00E75DE8" w:rsidRDefault="00E75DE8" w:rsidP="00E75DE8">
      <w:pPr>
        <w:spacing w:after="0" w:line="240" w:lineRule="auto"/>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 xml:space="preserve">                          </w:t>
      </w:r>
    </w:p>
    <w:p w:rsidR="00E75DE8" w:rsidRPr="00B06034" w:rsidRDefault="00E75DE8" w:rsidP="00E75DE8">
      <w:pPr>
        <w:spacing w:after="0" w:line="240" w:lineRule="auto"/>
        <w:jc w:val="both"/>
        <w:rPr>
          <w:rFonts w:ascii="Times New Roman" w:hAnsi="Times New Roman" w:cs="Times New Roman"/>
          <w:b/>
          <w:sz w:val="28"/>
          <w:szCs w:val="28"/>
          <w:lang w:val="en-US"/>
        </w:rPr>
      </w:pPr>
      <w:r w:rsidRPr="00B06034">
        <w:rPr>
          <w:rFonts w:ascii="Times New Roman" w:hAnsi="Times New Roman" w:cs="Times New Roman"/>
          <w:b/>
          <w:sz w:val="28"/>
          <w:szCs w:val="28"/>
        </w:rPr>
        <w:t>Топчубаева</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Элида</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Таировнанын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Атмосфералык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абанын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техногендик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булгануусунун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респиратордук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ооруларга</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негизги</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патогендик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механизмдерине</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тийгизген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таасири</w:t>
      </w:r>
      <w:r w:rsidRPr="00B06034">
        <w:rPr>
          <w:rFonts w:ascii="Times New Roman" w:hAnsi="Times New Roman" w:cs="Times New Roman"/>
          <w:b/>
          <w:sz w:val="28"/>
          <w:szCs w:val="28"/>
          <w:lang w:val="en-US"/>
        </w:rPr>
        <w:t xml:space="preserve">» </w:t>
      </w:r>
      <w:r w:rsidR="00B06034">
        <w:rPr>
          <w:rFonts w:ascii="Times New Roman" w:hAnsi="Times New Roman" w:cs="Times New Roman"/>
          <w:b/>
          <w:sz w:val="28"/>
          <w:szCs w:val="28"/>
        </w:rPr>
        <w:t>деген</w:t>
      </w:r>
      <w:r w:rsidR="00B06034"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темадагы</w:t>
      </w:r>
      <w:r w:rsidRPr="00B06034">
        <w:rPr>
          <w:rFonts w:ascii="Times New Roman" w:hAnsi="Times New Roman" w:cs="Times New Roman"/>
          <w:b/>
          <w:sz w:val="28"/>
          <w:szCs w:val="28"/>
          <w:lang w:val="en-US"/>
        </w:rPr>
        <w:t xml:space="preserve"> 14.03.03 – </w:t>
      </w:r>
      <w:r w:rsidRPr="00B06034">
        <w:rPr>
          <w:rFonts w:ascii="Times New Roman" w:hAnsi="Times New Roman" w:cs="Times New Roman"/>
          <w:b/>
          <w:sz w:val="28"/>
          <w:szCs w:val="28"/>
        </w:rPr>
        <w:t>патологиялык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физиология</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адистиги</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боюнча</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медицина</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илимдеринин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кандидаты</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окумуштуулук</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даражасын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изденип</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алуу</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үчүн</w:t>
      </w:r>
      <w:r w:rsidRPr="00B06034">
        <w:rPr>
          <w:rFonts w:ascii="Times New Roman" w:hAnsi="Times New Roman" w:cs="Times New Roman"/>
          <w:b/>
          <w:sz w:val="28"/>
          <w:szCs w:val="28"/>
          <w:lang w:val="en-US"/>
        </w:rPr>
        <w:t xml:space="preserve"> </w:t>
      </w:r>
      <w:r w:rsidR="00B06034"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жазылган</w:t>
      </w:r>
      <w:r w:rsidRPr="00B06034">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диссертациясынын</w:t>
      </w:r>
      <w:r w:rsidRPr="00B06034">
        <w:rPr>
          <w:rFonts w:ascii="Times New Roman" w:hAnsi="Times New Roman" w:cs="Times New Roman"/>
          <w:b/>
          <w:sz w:val="28"/>
          <w:szCs w:val="28"/>
          <w:lang w:val="en-US"/>
        </w:rPr>
        <w:t xml:space="preserve"> </w:t>
      </w:r>
    </w:p>
    <w:p w:rsidR="00E75DE8" w:rsidRPr="002F39FF" w:rsidRDefault="00E75DE8" w:rsidP="00B06034">
      <w:pPr>
        <w:spacing w:after="0" w:line="240" w:lineRule="auto"/>
        <w:jc w:val="center"/>
        <w:rPr>
          <w:rFonts w:ascii="Times New Roman" w:hAnsi="Times New Roman" w:cs="Times New Roman"/>
          <w:b/>
          <w:sz w:val="28"/>
          <w:szCs w:val="28"/>
          <w:lang w:val="en-US"/>
        </w:rPr>
      </w:pPr>
      <w:r w:rsidRPr="00B06034">
        <w:rPr>
          <w:rFonts w:ascii="Times New Roman" w:hAnsi="Times New Roman" w:cs="Times New Roman"/>
          <w:b/>
          <w:sz w:val="28"/>
          <w:szCs w:val="28"/>
        </w:rPr>
        <w:t>РЕЗЮМЕСИ</w:t>
      </w:r>
    </w:p>
    <w:p w:rsidR="00E75DE8" w:rsidRPr="002F39FF" w:rsidRDefault="00E75DE8" w:rsidP="00E75DE8">
      <w:pPr>
        <w:spacing w:after="0" w:line="240" w:lineRule="auto"/>
        <w:jc w:val="both"/>
        <w:rPr>
          <w:rFonts w:ascii="Times New Roman" w:hAnsi="Times New Roman" w:cs="Times New Roman"/>
          <w:sz w:val="28"/>
          <w:szCs w:val="28"/>
          <w:lang w:val="en-US"/>
        </w:rPr>
      </w:pPr>
      <w:r w:rsidRPr="002F39FF">
        <w:rPr>
          <w:rFonts w:ascii="Times New Roman" w:hAnsi="Times New Roman" w:cs="Times New Roman"/>
          <w:sz w:val="28"/>
          <w:szCs w:val="28"/>
          <w:lang w:val="en-US"/>
        </w:rPr>
        <w:t xml:space="preserve">  </w:t>
      </w:r>
    </w:p>
    <w:p w:rsidR="00E75DE8" w:rsidRPr="002F39FF" w:rsidRDefault="00E75DE8" w:rsidP="00B06034">
      <w:pPr>
        <w:tabs>
          <w:tab w:val="left" w:pos="1134"/>
        </w:tabs>
        <w:spacing w:after="0" w:line="240" w:lineRule="auto"/>
        <w:ind w:firstLine="709"/>
        <w:jc w:val="both"/>
        <w:rPr>
          <w:rFonts w:ascii="Times New Roman" w:hAnsi="Times New Roman" w:cs="Times New Roman"/>
          <w:sz w:val="28"/>
          <w:szCs w:val="28"/>
          <w:lang w:val="en-US"/>
        </w:rPr>
      </w:pPr>
      <w:r w:rsidRPr="00B06034">
        <w:rPr>
          <w:rFonts w:ascii="Times New Roman" w:hAnsi="Times New Roman" w:cs="Times New Roman"/>
          <w:b/>
          <w:sz w:val="28"/>
          <w:szCs w:val="28"/>
        </w:rPr>
        <w:t>Негизги</w:t>
      </w:r>
      <w:r w:rsidRPr="002F39FF">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сөздөр</w:t>
      </w:r>
      <w:r w:rsidRPr="002F39FF">
        <w:rPr>
          <w:rFonts w:ascii="Times New Roman" w:hAnsi="Times New Roman" w:cs="Times New Roman"/>
          <w:b/>
          <w:sz w:val="28"/>
          <w:szCs w:val="28"/>
          <w:lang w:val="en-US"/>
        </w:rPr>
        <w:t>:</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дем</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алуу</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системасы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абанын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булганышы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бронхиалдык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астма</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аллергиялык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ринит</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иммундук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система</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этиопатогенез</w:t>
      </w:r>
      <w:r w:rsidRPr="002F39FF">
        <w:rPr>
          <w:rFonts w:ascii="Times New Roman" w:hAnsi="Times New Roman" w:cs="Times New Roman"/>
          <w:sz w:val="28"/>
          <w:szCs w:val="28"/>
          <w:lang w:val="en-US"/>
        </w:rPr>
        <w:t>.</w:t>
      </w:r>
    </w:p>
    <w:p w:rsidR="00E75DE8" w:rsidRPr="002F39FF" w:rsidRDefault="00E75DE8" w:rsidP="00B06034">
      <w:pPr>
        <w:tabs>
          <w:tab w:val="left" w:pos="1134"/>
        </w:tabs>
        <w:spacing w:after="0" w:line="240" w:lineRule="auto"/>
        <w:ind w:firstLine="709"/>
        <w:jc w:val="both"/>
        <w:rPr>
          <w:rFonts w:ascii="Times New Roman" w:hAnsi="Times New Roman" w:cs="Times New Roman"/>
          <w:sz w:val="28"/>
          <w:szCs w:val="28"/>
          <w:lang w:val="en-US"/>
        </w:rPr>
      </w:pPr>
      <w:r w:rsidRPr="00B06034">
        <w:rPr>
          <w:rFonts w:ascii="Times New Roman" w:hAnsi="Times New Roman" w:cs="Times New Roman"/>
          <w:b/>
          <w:sz w:val="28"/>
          <w:szCs w:val="28"/>
        </w:rPr>
        <w:t>Изилдөө</w:t>
      </w:r>
      <w:r w:rsidRPr="002F39FF">
        <w:rPr>
          <w:rFonts w:ascii="Times New Roman" w:hAnsi="Times New Roman" w:cs="Times New Roman"/>
          <w:b/>
          <w:sz w:val="28"/>
          <w:szCs w:val="28"/>
          <w:lang w:val="en-US"/>
        </w:rPr>
        <w:t xml:space="preserve"> </w:t>
      </w:r>
      <w:r w:rsidRPr="00B06034">
        <w:rPr>
          <w:rFonts w:ascii="Times New Roman" w:hAnsi="Times New Roman" w:cs="Times New Roman"/>
          <w:b/>
          <w:sz w:val="28"/>
          <w:szCs w:val="28"/>
        </w:rPr>
        <w:t>объектиси</w:t>
      </w:r>
      <w:r w:rsidRPr="002F39FF">
        <w:rPr>
          <w:rFonts w:ascii="Times New Roman" w:hAnsi="Times New Roman" w:cs="Times New Roman"/>
          <w:b/>
          <w:sz w:val="28"/>
          <w:szCs w:val="28"/>
          <w:lang w:val="en-US"/>
        </w:rPr>
        <w:t>:</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алардын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ичинен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Папан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айылында</w:t>
      </w:r>
      <w:r w:rsidRPr="002F39FF">
        <w:rPr>
          <w:rFonts w:ascii="Times New Roman" w:hAnsi="Times New Roman" w:cs="Times New Roman"/>
          <w:sz w:val="28"/>
          <w:szCs w:val="28"/>
          <w:lang w:val="en-US"/>
        </w:rPr>
        <w:t xml:space="preserve"> (n=68), </w:t>
      </w:r>
      <w:r w:rsidRPr="00E75DE8">
        <w:rPr>
          <w:rFonts w:ascii="Times New Roman" w:hAnsi="Times New Roman" w:cs="Times New Roman"/>
          <w:sz w:val="28"/>
          <w:szCs w:val="28"/>
        </w:rPr>
        <w:t>Гүлбар</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айылында</w:t>
      </w:r>
      <w:r w:rsidRPr="002F39FF">
        <w:rPr>
          <w:rFonts w:ascii="Times New Roman" w:hAnsi="Times New Roman" w:cs="Times New Roman"/>
          <w:sz w:val="28"/>
          <w:szCs w:val="28"/>
          <w:lang w:val="en-US"/>
        </w:rPr>
        <w:t xml:space="preserve"> (n=74), </w:t>
      </w:r>
      <w:r w:rsidRPr="00E75DE8">
        <w:rPr>
          <w:rFonts w:ascii="Times New Roman" w:hAnsi="Times New Roman" w:cs="Times New Roman"/>
          <w:sz w:val="28"/>
          <w:szCs w:val="28"/>
        </w:rPr>
        <w:t>Ош</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шаарында</w:t>
      </w:r>
      <w:r w:rsidRPr="002F39FF">
        <w:rPr>
          <w:rFonts w:ascii="Times New Roman" w:hAnsi="Times New Roman" w:cs="Times New Roman"/>
          <w:sz w:val="28"/>
          <w:szCs w:val="28"/>
          <w:lang w:val="en-US"/>
        </w:rPr>
        <w:t xml:space="preserve"> (n=70) </w:t>
      </w:r>
      <w:r w:rsidRPr="00E75DE8">
        <w:rPr>
          <w:rFonts w:ascii="Times New Roman" w:hAnsi="Times New Roman" w:cs="Times New Roman"/>
          <w:sz w:val="28"/>
          <w:szCs w:val="28"/>
        </w:rPr>
        <w:t>жашаган</w:t>
      </w:r>
      <w:r w:rsidRPr="002F39FF">
        <w:rPr>
          <w:rFonts w:ascii="Times New Roman" w:hAnsi="Times New Roman" w:cs="Times New Roman"/>
          <w:sz w:val="28"/>
          <w:szCs w:val="28"/>
          <w:lang w:val="en-US"/>
        </w:rPr>
        <w:t xml:space="preserve"> 212 </w:t>
      </w:r>
      <w:r w:rsidRPr="00E75DE8">
        <w:rPr>
          <w:rFonts w:ascii="Times New Roman" w:hAnsi="Times New Roman" w:cs="Times New Roman"/>
          <w:sz w:val="28"/>
          <w:szCs w:val="28"/>
        </w:rPr>
        <w:t>адамды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текшерүү</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Папан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айылы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контролдук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топ</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Гүлбар</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айылы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техногендик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булгануу</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зонасы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Ош</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шаары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тыгыз</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трафик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зонасы</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мисалында</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КР</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аймагынын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атмосфералык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абасын</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гигиеналык</w:t>
      </w:r>
      <w:r w:rsidRPr="002F39FF">
        <w:rPr>
          <w:rFonts w:ascii="Times New Roman" w:hAnsi="Times New Roman" w:cs="Times New Roman"/>
          <w:sz w:val="28"/>
          <w:szCs w:val="28"/>
          <w:lang w:val="en-US"/>
        </w:rPr>
        <w:t xml:space="preserve"> </w:t>
      </w:r>
      <w:r w:rsidRPr="00E75DE8">
        <w:rPr>
          <w:rFonts w:ascii="Times New Roman" w:hAnsi="Times New Roman" w:cs="Times New Roman"/>
          <w:sz w:val="28"/>
          <w:szCs w:val="28"/>
        </w:rPr>
        <w:t>баалоо</w:t>
      </w:r>
      <w:r w:rsidRPr="002F39FF">
        <w:rPr>
          <w:rFonts w:ascii="Times New Roman" w:hAnsi="Times New Roman" w:cs="Times New Roman"/>
          <w:sz w:val="28"/>
          <w:szCs w:val="28"/>
          <w:lang w:val="en-US"/>
        </w:rPr>
        <w:t>.</w:t>
      </w:r>
    </w:p>
    <w:p w:rsidR="00E75DE8" w:rsidRPr="002F39FF" w:rsidRDefault="00E75DE8" w:rsidP="00B06034">
      <w:pPr>
        <w:tabs>
          <w:tab w:val="left" w:pos="1134"/>
        </w:tabs>
        <w:spacing w:after="0" w:line="240" w:lineRule="auto"/>
        <w:ind w:firstLine="709"/>
        <w:jc w:val="both"/>
        <w:rPr>
          <w:rFonts w:ascii="Times New Roman" w:hAnsi="Times New Roman" w:cs="Times New Roman"/>
          <w:spacing w:val="4"/>
          <w:sz w:val="28"/>
          <w:szCs w:val="28"/>
          <w:lang w:val="en-US"/>
        </w:rPr>
      </w:pPr>
      <w:r w:rsidRPr="007B6E3A">
        <w:rPr>
          <w:rFonts w:ascii="Times New Roman" w:hAnsi="Times New Roman" w:cs="Times New Roman"/>
          <w:b/>
          <w:spacing w:val="4"/>
          <w:sz w:val="28"/>
          <w:szCs w:val="28"/>
        </w:rPr>
        <w:t>Изилдөөнүн</w:t>
      </w:r>
      <w:r w:rsidRPr="002F39FF">
        <w:rPr>
          <w:rFonts w:ascii="Times New Roman" w:hAnsi="Times New Roman" w:cs="Times New Roman"/>
          <w:b/>
          <w:spacing w:val="4"/>
          <w:sz w:val="28"/>
          <w:szCs w:val="28"/>
          <w:lang w:val="en-US"/>
        </w:rPr>
        <w:t xml:space="preserve"> </w:t>
      </w:r>
      <w:r w:rsidRPr="007B6E3A">
        <w:rPr>
          <w:rFonts w:ascii="Times New Roman" w:hAnsi="Times New Roman" w:cs="Times New Roman"/>
          <w:b/>
          <w:spacing w:val="4"/>
          <w:sz w:val="28"/>
          <w:szCs w:val="28"/>
        </w:rPr>
        <w:t>предмети</w:t>
      </w:r>
      <w:r w:rsidRPr="002F39FF">
        <w:rPr>
          <w:rFonts w:ascii="Times New Roman" w:hAnsi="Times New Roman" w:cs="Times New Roman"/>
          <w:b/>
          <w:spacing w:val="4"/>
          <w:sz w:val="28"/>
          <w:szCs w:val="28"/>
          <w:lang w:val="en-US"/>
        </w:rPr>
        <w:t>:</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атмосфералык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абаны</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булгоочу</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заттардын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таасири</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астында</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дем</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алуу</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системасынын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ооруларынын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өнүгүү</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механизмдерин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изилдөө</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булганган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атмосфералык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абанын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шарттарында</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жашаган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адамдарда</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аллергиялык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риниттин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жана</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бронхиалдык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астманын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өнүгүү</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тобокелдигинин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иммунологиялык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маркерлерин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аныктоо</w:t>
      </w:r>
      <w:r w:rsidRPr="002F39FF">
        <w:rPr>
          <w:rFonts w:ascii="Times New Roman" w:hAnsi="Times New Roman" w:cs="Times New Roman"/>
          <w:spacing w:val="4"/>
          <w:sz w:val="28"/>
          <w:szCs w:val="28"/>
          <w:lang w:val="en-US"/>
        </w:rPr>
        <w:t>.</w:t>
      </w:r>
    </w:p>
    <w:p w:rsidR="00E75DE8" w:rsidRPr="002F39FF" w:rsidRDefault="00E75DE8" w:rsidP="00B06034">
      <w:pPr>
        <w:tabs>
          <w:tab w:val="left" w:pos="1134"/>
        </w:tabs>
        <w:spacing w:after="0" w:line="240" w:lineRule="auto"/>
        <w:ind w:firstLine="709"/>
        <w:jc w:val="both"/>
        <w:rPr>
          <w:rFonts w:ascii="Times New Roman" w:hAnsi="Times New Roman" w:cs="Times New Roman"/>
          <w:spacing w:val="4"/>
          <w:sz w:val="28"/>
          <w:szCs w:val="28"/>
          <w:lang w:val="en-US"/>
        </w:rPr>
      </w:pPr>
      <w:r w:rsidRPr="007B6E3A">
        <w:rPr>
          <w:rFonts w:ascii="Times New Roman" w:hAnsi="Times New Roman" w:cs="Times New Roman"/>
          <w:b/>
          <w:spacing w:val="4"/>
          <w:sz w:val="28"/>
          <w:szCs w:val="28"/>
        </w:rPr>
        <w:t>Изилдөөнүн</w:t>
      </w:r>
      <w:r w:rsidRPr="002F39FF">
        <w:rPr>
          <w:rFonts w:ascii="Times New Roman" w:hAnsi="Times New Roman" w:cs="Times New Roman"/>
          <w:b/>
          <w:spacing w:val="4"/>
          <w:sz w:val="28"/>
          <w:szCs w:val="28"/>
          <w:lang w:val="en-US"/>
        </w:rPr>
        <w:t xml:space="preserve"> </w:t>
      </w:r>
      <w:r w:rsidRPr="007B6E3A">
        <w:rPr>
          <w:rFonts w:ascii="Times New Roman" w:hAnsi="Times New Roman" w:cs="Times New Roman"/>
          <w:b/>
          <w:spacing w:val="4"/>
          <w:sz w:val="28"/>
          <w:szCs w:val="28"/>
        </w:rPr>
        <w:t>максаты</w:t>
      </w:r>
      <w:r w:rsidR="00B06034" w:rsidRPr="002F39FF">
        <w:rPr>
          <w:rFonts w:ascii="Times New Roman" w:hAnsi="Times New Roman" w:cs="Times New Roman"/>
          <w:spacing w:val="4"/>
          <w:sz w:val="28"/>
          <w:szCs w:val="28"/>
          <w:lang w:val="en-US"/>
        </w:rPr>
        <w:t xml:space="preserve">: </w:t>
      </w:r>
      <w:r w:rsidR="0025621E">
        <w:rPr>
          <w:rFonts w:ascii="Times New Roman" w:hAnsi="Times New Roman" w:cs="Times New Roman"/>
          <w:spacing w:val="4"/>
          <w:sz w:val="28"/>
          <w:szCs w:val="28"/>
        </w:rPr>
        <w:t>А</w:t>
      </w:r>
      <w:r w:rsidR="0025621E" w:rsidRPr="0025621E">
        <w:rPr>
          <w:rFonts w:ascii="Times New Roman" w:hAnsi="Times New Roman" w:cs="Times New Roman"/>
          <w:spacing w:val="4"/>
          <w:sz w:val="28"/>
          <w:szCs w:val="28"/>
          <w:lang w:val="en-US"/>
        </w:rPr>
        <w:t xml:space="preserve">банын </w:t>
      </w:r>
      <w:r w:rsidR="0025621E">
        <w:rPr>
          <w:rFonts w:ascii="Times New Roman" w:hAnsi="Times New Roman" w:cs="Times New Roman"/>
          <w:spacing w:val="4"/>
          <w:sz w:val="28"/>
          <w:szCs w:val="28"/>
        </w:rPr>
        <w:t>т</w:t>
      </w:r>
      <w:r w:rsidR="0025621E" w:rsidRPr="0025621E">
        <w:rPr>
          <w:rFonts w:ascii="Times New Roman" w:hAnsi="Times New Roman" w:cs="Times New Roman"/>
          <w:spacing w:val="4"/>
          <w:sz w:val="28"/>
          <w:szCs w:val="28"/>
          <w:lang w:val="en-US"/>
        </w:rPr>
        <w:t>ехногендик булганышынан улам пайда болгон дем алуу органдарынын сезгенүү жана аллергиялык ооруларынын өнүгүү механизмдерин изилдеп, алдын алуу жана дарылоо-диагностикалык иш-чараларды өркүндөтүү.</w:t>
      </w:r>
    </w:p>
    <w:p w:rsidR="00E75DE8" w:rsidRPr="002F39FF" w:rsidRDefault="00E75DE8" w:rsidP="00B06034">
      <w:pPr>
        <w:tabs>
          <w:tab w:val="left" w:pos="1134"/>
        </w:tabs>
        <w:spacing w:after="0" w:line="240" w:lineRule="auto"/>
        <w:ind w:firstLine="709"/>
        <w:jc w:val="both"/>
        <w:rPr>
          <w:rFonts w:ascii="Times New Roman" w:hAnsi="Times New Roman" w:cs="Times New Roman"/>
          <w:spacing w:val="4"/>
          <w:sz w:val="28"/>
          <w:szCs w:val="28"/>
          <w:lang w:val="en-US"/>
        </w:rPr>
      </w:pP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b/>
          <w:spacing w:val="4"/>
          <w:sz w:val="28"/>
          <w:szCs w:val="28"/>
        </w:rPr>
        <w:t>Изилдөө</w:t>
      </w:r>
      <w:r w:rsidRPr="002F39FF">
        <w:rPr>
          <w:rFonts w:ascii="Times New Roman" w:hAnsi="Times New Roman" w:cs="Times New Roman"/>
          <w:b/>
          <w:spacing w:val="4"/>
          <w:sz w:val="28"/>
          <w:szCs w:val="28"/>
          <w:lang w:val="en-US"/>
        </w:rPr>
        <w:t xml:space="preserve"> </w:t>
      </w:r>
      <w:r w:rsidRPr="007B6E3A">
        <w:rPr>
          <w:rFonts w:ascii="Times New Roman" w:hAnsi="Times New Roman" w:cs="Times New Roman"/>
          <w:b/>
          <w:spacing w:val="4"/>
          <w:sz w:val="28"/>
          <w:szCs w:val="28"/>
        </w:rPr>
        <w:t>методдору</w:t>
      </w:r>
      <w:r w:rsidRPr="002F39FF">
        <w:rPr>
          <w:rFonts w:ascii="Times New Roman" w:hAnsi="Times New Roman" w:cs="Times New Roman"/>
          <w:b/>
          <w:spacing w:val="4"/>
          <w:sz w:val="28"/>
          <w:szCs w:val="28"/>
          <w:lang w:val="en-US"/>
        </w:rPr>
        <w:t>:</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деталдуу</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жашоо</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тарыхы</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жана</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медициналык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тарых</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өзгөчө</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респиратордук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оорулардын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тарыхы</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физикалык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текшерүү</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иммунологиялык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параметрлердин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сериясын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баалоо</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дем</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алуу</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системасынын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функциясын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инструменталдык</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изилдөө</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ошондой</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эле</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жашоо</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сапатын</w:t>
      </w:r>
      <w:r w:rsidRPr="002F39FF">
        <w:rPr>
          <w:rFonts w:ascii="Times New Roman" w:hAnsi="Times New Roman" w:cs="Times New Roman"/>
          <w:spacing w:val="4"/>
          <w:sz w:val="28"/>
          <w:szCs w:val="28"/>
          <w:lang w:val="en-US"/>
        </w:rPr>
        <w:t xml:space="preserve"> </w:t>
      </w:r>
      <w:r w:rsidRPr="007B6E3A">
        <w:rPr>
          <w:rFonts w:ascii="Times New Roman" w:hAnsi="Times New Roman" w:cs="Times New Roman"/>
          <w:spacing w:val="4"/>
          <w:sz w:val="28"/>
          <w:szCs w:val="28"/>
        </w:rPr>
        <w:t>баалоо</w:t>
      </w:r>
      <w:r w:rsidRPr="002F39FF">
        <w:rPr>
          <w:rFonts w:ascii="Times New Roman" w:hAnsi="Times New Roman" w:cs="Times New Roman"/>
          <w:spacing w:val="4"/>
          <w:sz w:val="28"/>
          <w:szCs w:val="28"/>
          <w:lang w:val="en-US"/>
        </w:rPr>
        <w:t>.</w:t>
      </w:r>
    </w:p>
    <w:p w:rsidR="00E75DE8" w:rsidRPr="007B6E3A" w:rsidRDefault="00E75DE8" w:rsidP="00B06034">
      <w:pPr>
        <w:tabs>
          <w:tab w:val="left" w:pos="1134"/>
        </w:tabs>
        <w:spacing w:after="0" w:line="240" w:lineRule="auto"/>
        <w:ind w:firstLine="709"/>
        <w:jc w:val="both"/>
        <w:rPr>
          <w:rFonts w:ascii="Times New Roman" w:hAnsi="Times New Roman" w:cs="Times New Roman"/>
          <w:spacing w:val="4"/>
          <w:sz w:val="28"/>
          <w:szCs w:val="28"/>
        </w:rPr>
      </w:pPr>
      <w:r w:rsidRPr="007B6E3A">
        <w:rPr>
          <w:rFonts w:ascii="Times New Roman" w:hAnsi="Times New Roman" w:cs="Times New Roman"/>
          <w:b/>
          <w:spacing w:val="4"/>
          <w:sz w:val="28"/>
          <w:szCs w:val="28"/>
        </w:rPr>
        <w:t>Алынган натыйжалар жана алардын жаңылыгы</w:t>
      </w:r>
      <w:r w:rsidR="00B06034" w:rsidRPr="007B6E3A">
        <w:rPr>
          <w:rFonts w:ascii="Times New Roman" w:hAnsi="Times New Roman" w:cs="Times New Roman"/>
          <w:b/>
          <w:spacing w:val="4"/>
          <w:sz w:val="28"/>
          <w:szCs w:val="28"/>
        </w:rPr>
        <w:t xml:space="preserve">. </w:t>
      </w:r>
      <w:r w:rsidRPr="007B6E3A">
        <w:rPr>
          <w:rFonts w:ascii="Times New Roman" w:hAnsi="Times New Roman" w:cs="Times New Roman"/>
          <w:spacing w:val="4"/>
          <w:sz w:val="28"/>
          <w:szCs w:val="28"/>
        </w:rPr>
        <w:t>Кыргыз Республикасынын райондорунда атмосферанын булганышынын ар кандай даражалары менен жашаган адамдардын аллергиялык ринит, өнөкөт бронхит, бронхиалдык астма жана өнөкөт риносинусит менен ооругандардын деңгээли боюнча биринчи жолу айкын айырмачылыктар аныкталды. Муну менен бирге абанын булганышынын деңгээли жогору болгон аймактардын жашоочуларында даттануулардын, дем алуу органдарынын ооруларынын күчөшүнүн жана рецидивдеринин жогорку жыштыгы байкалаары көрсөтүлдү.</w:t>
      </w:r>
    </w:p>
    <w:p w:rsidR="00E75DE8" w:rsidRPr="007B6E3A" w:rsidRDefault="00E75DE8" w:rsidP="00B06034">
      <w:pPr>
        <w:tabs>
          <w:tab w:val="left" w:pos="1134"/>
        </w:tabs>
        <w:spacing w:after="0" w:line="240" w:lineRule="auto"/>
        <w:ind w:firstLine="709"/>
        <w:jc w:val="both"/>
        <w:rPr>
          <w:rFonts w:ascii="Times New Roman" w:hAnsi="Times New Roman" w:cs="Times New Roman"/>
          <w:spacing w:val="6"/>
          <w:sz w:val="28"/>
          <w:szCs w:val="28"/>
        </w:rPr>
      </w:pPr>
      <w:r w:rsidRPr="007B6E3A">
        <w:rPr>
          <w:rFonts w:ascii="Times New Roman" w:hAnsi="Times New Roman" w:cs="Times New Roman"/>
          <w:spacing w:val="6"/>
          <w:sz w:val="28"/>
          <w:szCs w:val="28"/>
        </w:rPr>
        <w:lastRenderedPageBreak/>
        <w:t xml:space="preserve">Булганган атмосфералык абанын шарттарында жашаган адамдардын тышкы дем алуу функциясынын жана риноманометриянын параметрлеринин өзгөрүүлөрүн, жогорку дем алуу жолдорунун микробдук уруктуулук даражасын мүнөздөөчү жаңы маалыматтар алынды, Кыргыз Республикасынын бул тургундарынын жашоо сапатынын көрсөткүчтөрүнүн төмөндөшү аныкталды. Атмосфералык абаны булгоочу заттардын ЧЖБК деңгээлинен ашкан аймактарда жашаган адамдардын иммундук статусунун көрсөткүчтөрүнүн жылыштары алгачкы жолу кеңири мүнөздөлгөн, мында иммунитеттин клеткалык жана гуморалдык звенолорунун, спецификалык эмес каршылыктын көрсөткүчтөрүнүн өзгөрүүлөрү көрсөтүлгөн, цитокиндердин спектринде жылыштар табылган. Атмосфералык абаны булгоочу заттардын ЧЖБК деңгээлинен ашкан аймактарда жашаган адамдарда дем чыгаруучу абанын конденсатында жыйынды </w:t>
      </w:r>
      <w:r w:rsidR="007B6E3A">
        <w:rPr>
          <w:rFonts w:ascii="Times New Roman" w:hAnsi="Times New Roman" w:cs="Times New Roman"/>
          <w:spacing w:val="6"/>
          <w:sz w:val="28"/>
          <w:szCs w:val="28"/>
        </w:rPr>
        <w:t xml:space="preserve">                    </w:t>
      </w:r>
      <w:r w:rsidRPr="007B6E3A">
        <w:rPr>
          <w:rFonts w:ascii="Times New Roman" w:hAnsi="Times New Roman" w:cs="Times New Roman"/>
          <w:spacing w:val="6"/>
          <w:sz w:val="28"/>
          <w:szCs w:val="28"/>
        </w:rPr>
        <w:t>радикалдык кычкылдануунун активдүүлүгүнүн жогорулашы биринчи жолу аныкталган.</w:t>
      </w:r>
    </w:p>
    <w:p w:rsidR="00E75DE8" w:rsidRPr="007B6E3A" w:rsidRDefault="00E75DE8" w:rsidP="00B06034">
      <w:pPr>
        <w:tabs>
          <w:tab w:val="left" w:pos="1134"/>
        </w:tabs>
        <w:spacing w:after="0" w:line="240" w:lineRule="auto"/>
        <w:ind w:firstLine="709"/>
        <w:jc w:val="both"/>
        <w:rPr>
          <w:rFonts w:ascii="Times New Roman" w:hAnsi="Times New Roman" w:cs="Times New Roman"/>
          <w:spacing w:val="4"/>
          <w:sz w:val="28"/>
          <w:szCs w:val="28"/>
        </w:rPr>
      </w:pPr>
      <w:r w:rsidRPr="007B6E3A">
        <w:rPr>
          <w:rFonts w:ascii="Times New Roman" w:hAnsi="Times New Roman" w:cs="Times New Roman"/>
          <w:spacing w:val="4"/>
          <w:sz w:val="28"/>
          <w:szCs w:val="28"/>
        </w:rPr>
        <w:t>Булганган атмосфералык абанын шарттарында жашаган адамдарда аллергиялык риниттин жана бронхиалдык астманын өнүгүү тобокелдигинин жогорулашынын иммунологиялык маркерлери биринчи жолу аныкталды.</w:t>
      </w:r>
    </w:p>
    <w:p w:rsidR="00E75DE8" w:rsidRPr="00E75DE8" w:rsidRDefault="00E75DE8" w:rsidP="00B06034">
      <w:pPr>
        <w:tabs>
          <w:tab w:val="left" w:pos="1134"/>
        </w:tabs>
        <w:spacing w:after="0" w:line="240" w:lineRule="auto"/>
        <w:ind w:firstLine="709"/>
        <w:jc w:val="both"/>
        <w:rPr>
          <w:rFonts w:ascii="Times New Roman" w:hAnsi="Times New Roman" w:cs="Times New Roman"/>
          <w:sz w:val="28"/>
          <w:szCs w:val="28"/>
        </w:rPr>
      </w:pPr>
      <w:r w:rsidRPr="007B6E3A">
        <w:rPr>
          <w:rFonts w:ascii="Times New Roman" w:hAnsi="Times New Roman" w:cs="Times New Roman"/>
          <w:b/>
          <w:spacing w:val="4"/>
          <w:sz w:val="28"/>
          <w:szCs w:val="28"/>
        </w:rPr>
        <w:t>Колдонуу чөйрөсү:</w:t>
      </w:r>
      <w:r w:rsidRPr="007B6E3A">
        <w:rPr>
          <w:rFonts w:ascii="Times New Roman" w:hAnsi="Times New Roman" w:cs="Times New Roman"/>
          <w:spacing w:val="4"/>
          <w:sz w:val="28"/>
          <w:szCs w:val="28"/>
        </w:rPr>
        <w:t xml:space="preserve"> патологиялык физиология, пульмонология, экология</w:t>
      </w:r>
      <w:r w:rsidRPr="00E75DE8">
        <w:rPr>
          <w:rFonts w:ascii="Times New Roman" w:hAnsi="Times New Roman" w:cs="Times New Roman"/>
          <w:sz w:val="28"/>
          <w:szCs w:val="28"/>
        </w:rPr>
        <w:t>.</w:t>
      </w:r>
    </w:p>
    <w:p w:rsidR="00E75DE8" w:rsidRPr="00B06034" w:rsidRDefault="00E75DE8" w:rsidP="00B06034">
      <w:pPr>
        <w:spacing w:after="0" w:line="240" w:lineRule="auto"/>
        <w:jc w:val="center"/>
        <w:rPr>
          <w:rFonts w:ascii="Times New Roman" w:hAnsi="Times New Roman" w:cs="Times New Roman"/>
          <w:b/>
          <w:sz w:val="28"/>
          <w:szCs w:val="28"/>
        </w:rPr>
      </w:pPr>
      <w:r w:rsidRPr="00B06034">
        <w:rPr>
          <w:rFonts w:ascii="Times New Roman" w:hAnsi="Times New Roman" w:cs="Times New Roman"/>
          <w:b/>
          <w:sz w:val="28"/>
          <w:szCs w:val="28"/>
        </w:rPr>
        <w:t>РЕЗЮМЕ</w:t>
      </w:r>
    </w:p>
    <w:p w:rsidR="00E75DE8" w:rsidRPr="00B06034" w:rsidRDefault="00E75DE8" w:rsidP="00B06034">
      <w:pPr>
        <w:spacing w:after="0" w:line="240" w:lineRule="auto"/>
        <w:jc w:val="both"/>
        <w:rPr>
          <w:rFonts w:ascii="Times New Roman" w:hAnsi="Times New Roman" w:cs="Times New Roman"/>
          <w:b/>
          <w:sz w:val="28"/>
          <w:szCs w:val="28"/>
        </w:rPr>
      </w:pPr>
      <w:r w:rsidRPr="00B06034">
        <w:rPr>
          <w:rFonts w:ascii="Times New Roman" w:hAnsi="Times New Roman" w:cs="Times New Roman"/>
          <w:b/>
          <w:sz w:val="28"/>
          <w:szCs w:val="28"/>
        </w:rPr>
        <w:t>диссертационной работы</w:t>
      </w:r>
      <w:r w:rsidR="00B06034">
        <w:rPr>
          <w:rFonts w:ascii="Times New Roman" w:hAnsi="Times New Roman" w:cs="Times New Roman"/>
          <w:b/>
          <w:sz w:val="28"/>
          <w:szCs w:val="28"/>
        </w:rPr>
        <w:t xml:space="preserve"> </w:t>
      </w:r>
      <w:r w:rsidRPr="00B06034">
        <w:rPr>
          <w:rFonts w:ascii="Times New Roman" w:hAnsi="Times New Roman" w:cs="Times New Roman"/>
          <w:b/>
          <w:sz w:val="28"/>
          <w:szCs w:val="28"/>
        </w:rPr>
        <w:t xml:space="preserve">Топчубаевой Элиды Таировны на тему: «Влияние техногенного загрязнения атмосферного воздуха на основные патогенетические механизмы заболеваний </w:t>
      </w:r>
      <w:r w:rsidR="007B7D72">
        <w:rPr>
          <w:rFonts w:ascii="Times New Roman" w:hAnsi="Times New Roman" w:cs="Times New Roman"/>
          <w:b/>
          <w:sz w:val="28"/>
          <w:szCs w:val="28"/>
        </w:rPr>
        <w:t xml:space="preserve">респираторной </w:t>
      </w:r>
      <w:r w:rsidRPr="00B06034">
        <w:rPr>
          <w:rFonts w:ascii="Times New Roman" w:hAnsi="Times New Roman" w:cs="Times New Roman"/>
          <w:b/>
          <w:sz w:val="28"/>
          <w:szCs w:val="28"/>
        </w:rPr>
        <w:t>системы»</w:t>
      </w:r>
      <w:r w:rsidR="00B06034">
        <w:rPr>
          <w:rFonts w:ascii="Times New Roman" w:hAnsi="Times New Roman" w:cs="Times New Roman"/>
          <w:b/>
          <w:sz w:val="28"/>
          <w:szCs w:val="28"/>
        </w:rPr>
        <w:t xml:space="preserve"> </w:t>
      </w:r>
      <w:r w:rsidR="00B06034" w:rsidRPr="00B06034">
        <w:rPr>
          <w:rFonts w:ascii="Times New Roman" w:hAnsi="Times New Roman" w:cs="Times New Roman"/>
          <w:b/>
          <w:sz w:val="28"/>
          <w:szCs w:val="28"/>
        </w:rPr>
        <w:t>по специальности 14.03</w:t>
      </w:r>
      <w:r w:rsidR="00B06034">
        <w:rPr>
          <w:rFonts w:ascii="Times New Roman" w:hAnsi="Times New Roman" w:cs="Times New Roman"/>
          <w:b/>
          <w:sz w:val="28"/>
          <w:szCs w:val="28"/>
        </w:rPr>
        <w:t>.03 – патологическая физиология  н</w:t>
      </w:r>
      <w:r w:rsidRPr="00B06034">
        <w:rPr>
          <w:rFonts w:ascii="Times New Roman" w:hAnsi="Times New Roman" w:cs="Times New Roman"/>
          <w:b/>
          <w:sz w:val="28"/>
          <w:szCs w:val="28"/>
        </w:rPr>
        <w:t>а соискание ученой степени кандидата медицинских наук</w:t>
      </w:r>
      <w:r w:rsidR="007B7D72">
        <w:rPr>
          <w:rFonts w:ascii="Times New Roman" w:hAnsi="Times New Roman" w:cs="Times New Roman"/>
          <w:b/>
          <w:sz w:val="28"/>
          <w:szCs w:val="28"/>
        </w:rPr>
        <w:t>.</w:t>
      </w:r>
      <w:r w:rsidRPr="00B06034">
        <w:rPr>
          <w:rFonts w:ascii="Times New Roman" w:hAnsi="Times New Roman" w:cs="Times New Roman"/>
          <w:b/>
          <w:sz w:val="28"/>
          <w:szCs w:val="28"/>
        </w:rPr>
        <w:t xml:space="preserve"> </w:t>
      </w:r>
    </w:p>
    <w:p w:rsidR="00E75DE8" w:rsidRPr="00E75DE8" w:rsidRDefault="00E75DE8" w:rsidP="00B06034">
      <w:pPr>
        <w:spacing w:after="0" w:line="240" w:lineRule="auto"/>
        <w:jc w:val="center"/>
        <w:rPr>
          <w:rFonts w:ascii="Times New Roman" w:hAnsi="Times New Roman" w:cs="Times New Roman"/>
          <w:sz w:val="28"/>
          <w:szCs w:val="28"/>
        </w:rPr>
      </w:pPr>
    </w:p>
    <w:p w:rsidR="00E75DE8" w:rsidRPr="00E75DE8" w:rsidRDefault="00E75DE8" w:rsidP="00B06034">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t>Ключевые слова:</w:t>
      </w:r>
      <w:r w:rsidRPr="00E75DE8">
        <w:rPr>
          <w:rFonts w:ascii="Times New Roman" w:hAnsi="Times New Roman" w:cs="Times New Roman"/>
          <w:sz w:val="28"/>
          <w:szCs w:val="28"/>
        </w:rPr>
        <w:t xml:space="preserve"> дыхательная система, загрязнение атмосферного воздуха, бронхиальная астма, аллергический ринит, иммунная система, этиопатогенез.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t>Объект исследования:</w:t>
      </w:r>
      <w:r w:rsidRPr="00E75DE8">
        <w:rPr>
          <w:rFonts w:ascii="Times New Roman" w:hAnsi="Times New Roman" w:cs="Times New Roman"/>
          <w:sz w:val="28"/>
          <w:szCs w:val="28"/>
        </w:rPr>
        <w:t xml:space="preserve"> обследование 212 человек, из них  проживающих в с.Папан (n=68), в с.</w:t>
      </w:r>
      <w:r w:rsidR="00143E10">
        <w:rPr>
          <w:rFonts w:ascii="Times New Roman" w:hAnsi="Times New Roman" w:cs="Times New Roman"/>
          <w:sz w:val="28"/>
          <w:szCs w:val="28"/>
        </w:rPr>
        <w:t>Гулбаар</w:t>
      </w:r>
      <w:r w:rsidRPr="00E75DE8">
        <w:rPr>
          <w:rFonts w:ascii="Times New Roman" w:hAnsi="Times New Roman" w:cs="Times New Roman"/>
          <w:sz w:val="28"/>
          <w:szCs w:val="28"/>
        </w:rPr>
        <w:t xml:space="preserve"> (n=74), в г.Ош (n=70); гигиеническая оценка атмосферного воздуха территории КР на примере с.Папан (контрольная группа), с.</w:t>
      </w:r>
      <w:r w:rsidR="00143E10">
        <w:rPr>
          <w:rFonts w:ascii="Times New Roman" w:hAnsi="Times New Roman" w:cs="Times New Roman"/>
          <w:sz w:val="28"/>
          <w:szCs w:val="28"/>
        </w:rPr>
        <w:t>Гулбаар</w:t>
      </w:r>
      <w:r w:rsidRPr="00E75DE8">
        <w:rPr>
          <w:rFonts w:ascii="Times New Roman" w:hAnsi="Times New Roman" w:cs="Times New Roman"/>
          <w:sz w:val="28"/>
          <w:szCs w:val="28"/>
        </w:rPr>
        <w:t xml:space="preserve"> (зона техногенного загрязнения), г.Ош (зона плотного трафика). </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t>Предмет исследования:</w:t>
      </w:r>
      <w:r w:rsidRPr="00E75DE8">
        <w:rPr>
          <w:rFonts w:ascii="Times New Roman" w:hAnsi="Times New Roman" w:cs="Times New Roman"/>
          <w:sz w:val="28"/>
          <w:szCs w:val="28"/>
        </w:rPr>
        <w:t xml:space="preserve"> изучение механизмов развития заболеваний дыхательной системы при воздействии загрязнителей атмосферного воздуха, установление иммунологических маркеров повышенного риска развития аллергического ринита и бронхиальной астмы у лиц, проживающих в условиях загрязненного атмосферного воздуха.</w:t>
      </w:r>
    </w:p>
    <w:p w:rsidR="005B15EA" w:rsidRPr="005B15EA" w:rsidRDefault="00E75DE8" w:rsidP="005B15EA">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lastRenderedPageBreak/>
        <w:t>Цель исследования</w:t>
      </w:r>
      <w:r w:rsidR="00B06034">
        <w:rPr>
          <w:rFonts w:ascii="Times New Roman" w:hAnsi="Times New Roman" w:cs="Times New Roman"/>
          <w:sz w:val="28"/>
          <w:szCs w:val="28"/>
        </w:rPr>
        <w:t xml:space="preserve">: </w:t>
      </w:r>
      <w:r w:rsidRPr="00E75DE8">
        <w:rPr>
          <w:rFonts w:ascii="Times New Roman" w:hAnsi="Times New Roman" w:cs="Times New Roman"/>
          <w:sz w:val="28"/>
          <w:szCs w:val="28"/>
        </w:rPr>
        <w:t xml:space="preserve"> </w:t>
      </w:r>
      <w:r w:rsidR="005B15EA" w:rsidRPr="005B15EA">
        <w:rPr>
          <w:rFonts w:ascii="Times New Roman" w:hAnsi="Times New Roman" w:cs="Times New Roman"/>
          <w:sz w:val="28"/>
          <w:szCs w:val="28"/>
        </w:rPr>
        <w:t>Изучить механизмы развития воспалительно-аллергических заболеваний органов дыхания, вызванным техногенным загрязнением атмосферного воздуха, для усовершенствования профилактических и лечебно-диагностических мероприятий.</w:t>
      </w:r>
    </w:p>
    <w:p w:rsidR="00E75DE8" w:rsidRPr="00E75DE8" w:rsidRDefault="00E75DE8" w:rsidP="005B15EA">
      <w:pPr>
        <w:spacing w:after="0" w:line="240" w:lineRule="auto"/>
        <w:jc w:val="both"/>
        <w:rPr>
          <w:rFonts w:ascii="Times New Roman" w:hAnsi="Times New Roman" w:cs="Times New Roman"/>
          <w:sz w:val="28"/>
          <w:szCs w:val="28"/>
        </w:rPr>
      </w:pPr>
      <w:r w:rsidRPr="00B06034">
        <w:rPr>
          <w:rFonts w:ascii="Times New Roman" w:hAnsi="Times New Roman" w:cs="Times New Roman"/>
          <w:b/>
          <w:sz w:val="28"/>
          <w:szCs w:val="28"/>
        </w:rPr>
        <w:t xml:space="preserve">Методы исследования: </w:t>
      </w:r>
      <w:r w:rsidRPr="00E75DE8">
        <w:rPr>
          <w:rFonts w:ascii="Times New Roman" w:hAnsi="Times New Roman" w:cs="Times New Roman"/>
          <w:sz w:val="28"/>
          <w:szCs w:val="28"/>
        </w:rPr>
        <w:t>подробный сбор анамнеза жизни и медицинского анамнеза, в особенности анамнеза респираторных заболеваний, физическое 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оценка качества жизни.</w:t>
      </w:r>
    </w:p>
    <w:p w:rsidR="0025621E" w:rsidRDefault="00E75DE8" w:rsidP="0025621E">
      <w:pPr>
        <w:spacing w:after="0" w:line="240" w:lineRule="auto"/>
        <w:ind w:firstLine="709"/>
        <w:jc w:val="both"/>
        <w:rPr>
          <w:rFonts w:ascii="Times New Roman" w:hAnsi="Times New Roman" w:cs="Times New Roman"/>
          <w:sz w:val="28"/>
          <w:szCs w:val="28"/>
        </w:rPr>
      </w:pPr>
      <w:r w:rsidRPr="00B06034">
        <w:rPr>
          <w:rFonts w:ascii="Times New Roman" w:hAnsi="Times New Roman" w:cs="Times New Roman"/>
          <w:b/>
          <w:sz w:val="28"/>
          <w:szCs w:val="28"/>
        </w:rPr>
        <w:t xml:space="preserve">Полученные результаты и их новизна. </w:t>
      </w:r>
      <w:r w:rsidRPr="00E75DE8">
        <w:rPr>
          <w:rFonts w:ascii="Times New Roman" w:hAnsi="Times New Roman" w:cs="Times New Roman"/>
          <w:sz w:val="28"/>
          <w:szCs w:val="28"/>
        </w:rPr>
        <w:t>Впервые установлены выраженные различия по уровням заболеваемости аллергическим ринитом, хроническим бронхитом, бронхиальной астмой и хроническим риносинуситом у лиц, проживающих в районах Кыргызской Республики с различающейся степенью атмосферного загрязнения. При этом продемонстрировано, что у жителей местностей с высокими уровнями загрязнения воздуха наблюдается более высокая частота жалоб, обострений и реци</w:t>
      </w:r>
      <w:r w:rsidR="0025621E">
        <w:rPr>
          <w:rFonts w:ascii="Times New Roman" w:hAnsi="Times New Roman" w:cs="Times New Roman"/>
          <w:sz w:val="28"/>
          <w:szCs w:val="28"/>
        </w:rPr>
        <w:t>дивов болезней органов дыхания.</w:t>
      </w:r>
      <w:r w:rsidR="007B7D72">
        <w:rPr>
          <w:rFonts w:ascii="Times New Roman" w:hAnsi="Times New Roman" w:cs="Times New Roman"/>
          <w:sz w:val="28"/>
          <w:szCs w:val="28"/>
        </w:rPr>
        <w:t xml:space="preserve"> </w:t>
      </w:r>
      <w:r w:rsidRPr="00E75DE8">
        <w:rPr>
          <w:rFonts w:ascii="Times New Roman" w:hAnsi="Times New Roman" w:cs="Times New Roman"/>
          <w:sz w:val="28"/>
          <w:szCs w:val="28"/>
        </w:rPr>
        <w:t>Получены новые данные, характеризующие изменения параметров функции внешнего дыхания и риноманометрии у лиц, проживающих в условиях загрязненного атмосферного воздуха, степень микробной обсемененности верхних дыхательных путей, выявлено снижение показателей качества жизни у этих жителей Кыргызской Республики.</w:t>
      </w:r>
      <w:r w:rsidR="007B7D72">
        <w:rPr>
          <w:rFonts w:ascii="Times New Roman" w:hAnsi="Times New Roman" w:cs="Times New Roman"/>
          <w:sz w:val="28"/>
          <w:szCs w:val="28"/>
        </w:rPr>
        <w:t xml:space="preserve"> </w:t>
      </w:r>
      <w:r w:rsidRPr="00E75DE8">
        <w:rPr>
          <w:rFonts w:ascii="Times New Roman" w:hAnsi="Times New Roman" w:cs="Times New Roman"/>
          <w:sz w:val="28"/>
          <w:szCs w:val="28"/>
        </w:rPr>
        <w:t>Впервые подробно охарактеризованы сдвиги показателей иммунного статуса у лиц, проживающих на территориях с превышением ПДК уровней загрязнителей атмосферного  воздуха, при этом продемонстрированы изменения показателей  клеточного и гуморального звеньев иммунитета, неспецифической резистентности, обнаружены сдвиги в спектре цитокинов.</w:t>
      </w:r>
      <w:r w:rsidR="007B7D72">
        <w:rPr>
          <w:rFonts w:ascii="Times New Roman" w:hAnsi="Times New Roman" w:cs="Times New Roman"/>
          <w:sz w:val="28"/>
          <w:szCs w:val="28"/>
        </w:rPr>
        <w:t xml:space="preserve"> </w:t>
      </w:r>
      <w:r w:rsidRPr="00E75DE8">
        <w:rPr>
          <w:rFonts w:ascii="Times New Roman" w:hAnsi="Times New Roman" w:cs="Times New Roman"/>
          <w:sz w:val="28"/>
          <w:szCs w:val="28"/>
        </w:rPr>
        <w:t>Впервые выявлено повышение активности сводобнорадикального окисления у лиц, проживающих на территориях с превышением ПДК уровней загрязнителей атмосферного  воздуха.</w:t>
      </w:r>
    </w:p>
    <w:p w:rsidR="00E75DE8" w:rsidRPr="00E75DE8" w:rsidRDefault="00E75DE8" w:rsidP="0025621E">
      <w:pPr>
        <w:spacing w:after="0" w:line="240" w:lineRule="auto"/>
        <w:ind w:firstLine="709"/>
        <w:jc w:val="both"/>
        <w:rPr>
          <w:rFonts w:ascii="Times New Roman" w:hAnsi="Times New Roman" w:cs="Times New Roman"/>
          <w:sz w:val="28"/>
          <w:szCs w:val="28"/>
        </w:rPr>
      </w:pPr>
      <w:r w:rsidRPr="00E75DE8">
        <w:rPr>
          <w:rFonts w:ascii="Times New Roman" w:hAnsi="Times New Roman" w:cs="Times New Roman"/>
          <w:sz w:val="28"/>
          <w:szCs w:val="28"/>
        </w:rPr>
        <w:t>Впервые установлены иммунологические маркеры повышенного риска развития аллергического ринита и бронхиальной астмы у лиц, проживающих в условиях загрязненного атмосферного воздуха.</w:t>
      </w:r>
    </w:p>
    <w:p w:rsidR="00E75DE8" w:rsidRPr="00E75DE8" w:rsidRDefault="00E75DE8" w:rsidP="00B06034">
      <w:pPr>
        <w:spacing w:after="0" w:line="240" w:lineRule="auto"/>
        <w:ind w:firstLine="709"/>
        <w:jc w:val="both"/>
        <w:rPr>
          <w:rFonts w:ascii="Times New Roman" w:hAnsi="Times New Roman" w:cs="Times New Roman"/>
          <w:sz w:val="28"/>
          <w:szCs w:val="28"/>
        </w:rPr>
      </w:pPr>
      <w:r w:rsidRPr="00EB2A10">
        <w:rPr>
          <w:rFonts w:ascii="Times New Roman" w:hAnsi="Times New Roman" w:cs="Times New Roman"/>
          <w:b/>
          <w:sz w:val="28"/>
          <w:szCs w:val="28"/>
        </w:rPr>
        <w:t>Область применения:</w:t>
      </w:r>
      <w:r w:rsidRPr="00E75DE8">
        <w:rPr>
          <w:rFonts w:ascii="Times New Roman" w:hAnsi="Times New Roman" w:cs="Times New Roman"/>
          <w:sz w:val="28"/>
          <w:szCs w:val="28"/>
        </w:rPr>
        <w:t xml:space="preserve"> патологическая физиология, пульмонология, экология. </w:t>
      </w:r>
    </w:p>
    <w:p w:rsidR="0025621E" w:rsidRDefault="0025621E" w:rsidP="00E75DE8">
      <w:pPr>
        <w:spacing w:after="0" w:line="240" w:lineRule="auto"/>
        <w:jc w:val="both"/>
        <w:rPr>
          <w:rFonts w:ascii="Times New Roman" w:hAnsi="Times New Roman" w:cs="Times New Roman"/>
          <w:sz w:val="28"/>
          <w:szCs w:val="28"/>
        </w:rPr>
      </w:pPr>
    </w:p>
    <w:p w:rsidR="0025621E" w:rsidRDefault="0025621E" w:rsidP="00E75DE8">
      <w:pPr>
        <w:spacing w:after="0" w:line="240" w:lineRule="auto"/>
        <w:jc w:val="both"/>
        <w:rPr>
          <w:rFonts w:ascii="Times New Roman" w:hAnsi="Times New Roman" w:cs="Times New Roman"/>
          <w:sz w:val="28"/>
          <w:szCs w:val="28"/>
        </w:rPr>
      </w:pPr>
    </w:p>
    <w:p w:rsidR="00E75DE8" w:rsidRPr="00CF514E" w:rsidRDefault="0025621E" w:rsidP="00E75DE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E75DE8" w:rsidRPr="00EB2A10">
        <w:rPr>
          <w:rFonts w:ascii="Times New Roman" w:hAnsi="Times New Roman" w:cs="Times New Roman"/>
          <w:b/>
          <w:sz w:val="28"/>
          <w:szCs w:val="28"/>
        </w:rPr>
        <w:t xml:space="preserve"> </w:t>
      </w:r>
      <w:r w:rsidR="00E75DE8" w:rsidRPr="00EB2A10">
        <w:rPr>
          <w:rFonts w:ascii="Times New Roman" w:hAnsi="Times New Roman" w:cs="Times New Roman"/>
          <w:b/>
          <w:sz w:val="28"/>
          <w:szCs w:val="28"/>
          <w:lang w:val="en-US"/>
        </w:rPr>
        <w:t>SUMMARY</w:t>
      </w:r>
    </w:p>
    <w:p w:rsidR="00E75DE8" w:rsidRPr="00EB2A10" w:rsidRDefault="00E75DE8" w:rsidP="00E75DE8">
      <w:pPr>
        <w:spacing w:after="0" w:line="240" w:lineRule="auto"/>
        <w:jc w:val="both"/>
        <w:rPr>
          <w:rFonts w:ascii="Times New Roman" w:hAnsi="Times New Roman" w:cs="Times New Roman"/>
          <w:b/>
          <w:sz w:val="28"/>
          <w:szCs w:val="28"/>
          <w:lang w:val="en-US"/>
        </w:rPr>
      </w:pPr>
      <w:r w:rsidRPr="00EB2A10">
        <w:rPr>
          <w:rFonts w:ascii="Times New Roman" w:hAnsi="Times New Roman" w:cs="Times New Roman"/>
          <w:b/>
          <w:sz w:val="28"/>
          <w:szCs w:val="28"/>
          <w:lang w:val="en-US"/>
        </w:rPr>
        <w:t xml:space="preserve">dissertation work of Topchubaeva Elida Tairovna on the topic: </w:t>
      </w:r>
      <w:r w:rsidR="00EB2A10">
        <w:rPr>
          <w:rFonts w:ascii="Times New Roman" w:hAnsi="Times New Roman" w:cs="Times New Roman"/>
          <w:b/>
          <w:sz w:val="28"/>
          <w:szCs w:val="28"/>
          <w:lang w:val="en-US"/>
        </w:rPr>
        <w:t>«</w:t>
      </w:r>
      <w:r w:rsidRPr="00EB2A10">
        <w:rPr>
          <w:rFonts w:ascii="Times New Roman" w:hAnsi="Times New Roman" w:cs="Times New Roman"/>
          <w:b/>
          <w:sz w:val="28"/>
          <w:szCs w:val="28"/>
          <w:lang w:val="en-US"/>
        </w:rPr>
        <w:t>The influence of man-made atmospheric air pollution on the main pathogenetic mechanisms of diseases of the respiratory system</w:t>
      </w:r>
      <w:r w:rsidR="00EB2A10">
        <w:rPr>
          <w:rFonts w:ascii="Times New Roman" w:hAnsi="Times New Roman" w:cs="Times New Roman"/>
          <w:b/>
          <w:sz w:val="28"/>
          <w:szCs w:val="28"/>
          <w:lang w:val="en-US"/>
        </w:rPr>
        <w:t>»</w:t>
      </w:r>
      <w:r w:rsidR="00EB2A10" w:rsidRPr="00EB2A10">
        <w:rPr>
          <w:rFonts w:ascii="Times New Roman" w:hAnsi="Times New Roman" w:cs="Times New Roman"/>
          <w:b/>
          <w:sz w:val="28"/>
          <w:szCs w:val="28"/>
          <w:lang w:val="en-US"/>
        </w:rPr>
        <w:t xml:space="preserve"> f</w:t>
      </w:r>
      <w:r w:rsidRPr="00EB2A10">
        <w:rPr>
          <w:rFonts w:ascii="Times New Roman" w:hAnsi="Times New Roman" w:cs="Times New Roman"/>
          <w:b/>
          <w:sz w:val="28"/>
          <w:szCs w:val="28"/>
          <w:lang w:val="en-US"/>
        </w:rPr>
        <w:t>or the degree of Candidate of Medical Sciences in the specialty 14.</w:t>
      </w:r>
      <w:r w:rsidR="00EB2A10">
        <w:rPr>
          <w:rFonts w:ascii="Times New Roman" w:hAnsi="Times New Roman" w:cs="Times New Roman"/>
          <w:b/>
          <w:sz w:val="28"/>
          <w:szCs w:val="28"/>
          <w:lang w:val="en-US"/>
        </w:rPr>
        <w:t>03.03 – pathological physiology</w:t>
      </w: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B2A10">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Keywords:</w:t>
      </w:r>
      <w:r w:rsidRPr="00E75DE8">
        <w:rPr>
          <w:rFonts w:ascii="Times New Roman" w:hAnsi="Times New Roman" w:cs="Times New Roman"/>
          <w:sz w:val="28"/>
          <w:szCs w:val="28"/>
          <w:lang w:val="en-US"/>
        </w:rPr>
        <w:t xml:space="preserve"> respiratory system, atmospheric air pollution, bronchial asthma, allergic rhinitis, immune system, etiopathogenesis.</w:t>
      </w:r>
    </w:p>
    <w:p w:rsidR="00E75DE8" w:rsidRPr="00E75DE8" w:rsidRDefault="00E75DE8" w:rsidP="00EB2A10">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 xml:space="preserve">Object of research: </w:t>
      </w:r>
      <w:r w:rsidRPr="00E75DE8">
        <w:rPr>
          <w:rFonts w:ascii="Times New Roman" w:hAnsi="Times New Roman" w:cs="Times New Roman"/>
          <w:sz w:val="28"/>
          <w:szCs w:val="28"/>
          <w:lang w:val="en-US"/>
        </w:rPr>
        <w:t>examination of 212 people, including those living in the village of Papan (n=68), in the village of Gulbar (n=74), in Osh (n=70); hygienic assessment of the atmospheric air of the territory of the Kyrgyz Republic on the example of S.Papan (control group), Gulbar village (technogenic pollution zone), Osh city (dense traffic zone).</w:t>
      </w:r>
    </w:p>
    <w:p w:rsidR="0025621E" w:rsidRDefault="00E75DE8" w:rsidP="0025621E">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 xml:space="preserve">The subject of the study: </w:t>
      </w:r>
      <w:r w:rsidR="0025621E" w:rsidRPr="0025621E">
        <w:rPr>
          <w:rFonts w:ascii="Times New Roman" w:hAnsi="Times New Roman" w:cs="Times New Roman"/>
          <w:sz w:val="28"/>
          <w:szCs w:val="28"/>
          <w:lang w:val="en-US"/>
        </w:rPr>
        <w:t>To study the mechanisms of the development of inflammatory and allergic respiratory diseases caused by technogenic air pollution in order to improve preventive, therapeutic, and diagnostic measures.</w:t>
      </w:r>
    </w:p>
    <w:p w:rsidR="00E75DE8" w:rsidRPr="00E75DE8" w:rsidRDefault="00E75DE8" w:rsidP="0025621E">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Research methods:</w:t>
      </w:r>
      <w:r w:rsidRPr="00E75DE8">
        <w:rPr>
          <w:rFonts w:ascii="Times New Roman" w:hAnsi="Times New Roman" w:cs="Times New Roman"/>
          <w:sz w:val="28"/>
          <w:szCs w:val="28"/>
          <w:lang w:val="en-US"/>
        </w:rPr>
        <w:t xml:space="preserve"> detailed collection of life history and medical history, especially the history of respiratory diseases, physical examination, extended laboratory examination, including assessment of a number of immunological parameters, instrumental examination of the function of the respiratory system, as well as assessment of the quality of life.</w:t>
      </w:r>
    </w:p>
    <w:p w:rsidR="00E75DE8" w:rsidRPr="00E75DE8" w:rsidRDefault="00E75DE8" w:rsidP="00EB2A10">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The results obtained and their novelty</w:t>
      </w:r>
      <w:r w:rsidR="00EB2A10" w:rsidRPr="00EB2A10">
        <w:rPr>
          <w:rFonts w:ascii="Times New Roman" w:hAnsi="Times New Roman" w:cs="Times New Roman"/>
          <w:b/>
          <w:sz w:val="28"/>
          <w:szCs w:val="28"/>
          <w:lang w:val="en-US"/>
        </w:rPr>
        <w:t>.</w:t>
      </w:r>
      <w:r w:rsidRPr="00E75DE8">
        <w:rPr>
          <w:rFonts w:ascii="Times New Roman" w:hAnsi="Times New Roman" w:cs="Times New Roman"/>
          <w:sz w:val="28"/>
          <w:szCs w:val="28"/>
          <w:lang w:val="en-US"/>
        </w:rPr>
        <w:t xml:space="preserve"> For the first time, pronounced differences in the incidence of allergic rhinitis, chronic bronchitis, bronchial asthma and chronic rhinosinusitis were established in people living in areas of the Kyrgyz Republic with varying degrees of atmospheric pollution. At the same time, it has been demonstrated that residents of areas with high levels of air pollution have a higher frequency of complaints, exacerbations and relapses of respiratory diseases.</w:t>
      </w:r>
    </w:p>
    <w:p w:rsidR="00E75DE8" w:rsidRPr="00E75DE8" w:rsidRDefault="00E75DE8" w:rsidP="0025621E">
      <w:pPr>
        <w:spacing w:after="0" w:line="240" w:lineRule="auto"/>
        <w:ind w:firstLine="709"/>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New data were obtained characterizing changes in the parameters of the function of external respiration and rhinomanometry in people living in polluted atmospheric air, the degree of microbial contamination of the upper respiratory tract, and a decrease in the quality of life of these residents of the Ky</w:t>
      </w:r>
      <w:r w:rsidR="0025621E">
        <w:rPr>
          <w:rFonts w:ascii="Times New Roman" w:hAnsi="Times New Roman" w:cs="Times New Roman"/>
          <w:sz w:val="28"/>
          <w:szCs w:val="28"/>
          <w:lang w:val="en-US"/>
        </w:rPr>
        <w:t>rgyz Republic was revealed.</w:t>
      </w:r>
      <w:r w:rsidR="0025621E" w:rsidRPr="0025621E">
        <w:rPr>
          <w:rFonts w:ascii="Times New Roman" w:hAnsi="Times New Roman" w:cs="Times New Roman"/>
          <w:sz w:val="28"/>
          <w:szCs w:val="28"/>
          <w:lang w:val="en-US"/>
        </w:rPr>
        <w:t xml:space="preserve"> </w:t>
      </w:r>
      <w:r w:rsidRPr="00E75DE8">
        <w:rPr>
          <w:rFonts w:ascii="Times New Roman" w:hAnsi="Times New Roman" w:cs="Times New Roman"/>
          <w:sz w:val="28"/>
          <w:szCs w:val="28"/>
          <w:lang w:val="en-US"/>
        </w:rPr>
        <w:t>For the first time, shifts in the indicators of the immune status of persons living in territories with an excess of MPC levels of atmospheric pollutants were characterized in detail, while changes in the indicators of cellular and humoral immunity, nonspecific resistance were demonstrated, shifts in the spectrum of cytokines were detected.</w:t>
      </w:r>
      <w:r w:rsidR="0025621E" w:rsidRPr="0025621E">
        <w:rPr>
          <w:rFonts w:ascii="Times New Roman" w:hAnsi="Times New Roman" w:cs="Times New Roman"/>
          <w:sz w:val="28"/>
          <w:szCs w:val="28"/>
          <w:lang w:val="en-US"/>
        </w:rPr>
        <w:t xml:space="preserve"> </w:t>
      </w:r>
      <w:r w:rsidRPr="00E75DE8">
        <w:rPr>
          <w:rFonts w:ascii="Times New Roman" w:hAnsi="Times New Roman" w:cs="Times New Roman"/>
          <w:sz w:val="28"/>
          <w:szCs w:val="28"/>
          <w:lang w:val="en-US"/>
        </w:rPr>
        <w:t>For the first time, an increase in the activity of archoboradical oxidation in the condensate of exhaled air was revealed in persons living in territories with an excess of MPC levels of atmospheric pollutants.</w:t>
      </w:r>
    </w:p>
    <w:p w:rsidR="00E75DE8" w:rsidRPr="00E75DE8" w:rsidRDefault="00E75DE8" w:rsidP="00EB2A10">
      <w:pPr>
        <w:spacing w:after="0" w:line="240" w:lineRule="auto"/>
        <w:ind w:firstLine="709"/>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For the first time, immunological markers of an increased risk of allergic rhinitis and bronchial asthma in people living in polluted atmospheric air have been established.</w:t>
      </w:r>
    </w:p>
    <w:p w:rsidR="00E75DE8" w:rsidRPr="00E75DE8" w:rsidRDefault="00E75DE8" w:rsidP="00EB2A10">
      <w:pPr>
        <w:spacing w:after="0" w:line="240" w:lineRule="auto"/>
        <w:ind w:firstLine="709"/>
        <w:jc w:val="both"/>
        <w:rPr>
          <w:rFonts w:ascii="Times New Roman" w:hAnsi="Times New Roman" w:cs="Times New Roman"/>
          <w:sz w:val="28"/>
          <w:szCs w:val="28"/>
          <w:lang w:val="en-US"/>
        </w:rPr>
      </w:pPr>
      <w:r w:rsidRPr="00EB2A10">
        <w:rPr>
          <w:rFonts w:ascii="Times New Roman" w:hAnsi="Times New Roman" w:cs="Times New Roman"/>
          <w:b/>
          <w:sz w:val="28"/>
          <w:szCs w:val="28"/>
          <w:lang w:val="en-US"/>
        </w:rPr>
        <w:t>Scope of application:</w:t>
      </w:r>
      <w:r w:rsidRPr="00E75DE8">
        <w:rPr>
          <w:rFonts w:ascii="Times New Roman" w:hAnsi="Times New Roman" w:cs="Times New Roman"/>
          <w:sz w:val="28"/>
          <w:szCs w:val="28"/>
          <w:lang w:val="en-US"/>
        </w:rPr>
        <w:t xml:space="preserve"> pathological physiology, pulmonology, ecology.</w:t>
      </w: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 xml:space="preserve">  </w:t>
      </w:r>
    </w:p>
    <w:p w:rsidR="00E75DE8" w:rsidRPr="00E75DE8" w:rsidRDefault="00E75DE8" w:rsidP="00E75DE8">
      <w:pPr>
        <w:spacing w:after="0" w:line="240" w:lineRule="auto"/>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 xml:space="preserve">                                                       </w:t>
      </w:r>
    </w:p>
    <w:p w:rsidR="00E75DE8" w:rsidRPr="00E75DE8" w:rsidRDefault="00E75DE8" w:rsidP="00E75DE8">
      <w:pPr>
        <w:spacing w:after="0" w:line="240" w:lineRule="auto"/>
        <w:jc w:val="both"/>
        <w:rPr>
          <w:rFonts w:ascii="Times New Roman" w:hAnsi="Times New Roman" w:cs="Times New Roman"/>
          <w:sz w:val="28"/>
          <w:szCs w:val="28"/>
          <w:lang w:val="en-US"/>
        </w:rPr>
      </w:pPr>
      <w:r w:rsidRPr="00E75DE8">
        <w:rPr>
          <w:rFonts w:ascii="Times New Roman" w:hAnsi="Times New Roman" w:cs="Times New Roman"/>
          <w:sz w:val="28"/>
          <w:szCs w:val="28"/>
          <w:lang w:val="en-US"/>
        </w:rPr>
        <w:t xml:space="preserve">                                                   </w:t>
      </w: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25621E" w:rsidRPr="00E75DE8" w:rsidRDefault="0025621E" w:rsidP="0025621E">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Формат бумаги 60 х 90/16. Объем 1,5 п. л.</w:t>
      </w:r>
    </w:p>
    <w:p w:rsidR="0025621E" w:rsidRPr="00E75DE8" w:rsidRDefault="0025621E" w:rsidP="0025621E">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Бумага офсетная. Тираж 50 экз.</w:t>
      </w:r>
    </w:p>
    <w:p w:rsidR="0025621E" w:rsidRPr="00E75DE8" w:rsidRDefault="0025621E" w:rsidP="0025621E">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Отпечатано в ОсОО «Соф Басмасы»</w:t>
      </w:r>
    </w:p>
    <w:p w:rsidR="0025621E" w:rsidRPr="00E75DE8" w:rsidRDefault="0025621E" w:rsidP="0025621E">
      <w:pPr>
        <w:spacing w:after="0" w:line="240" w:lineRule="auto"/>
        <w:jc w:val="center"/>
        <w:rPr>
          <w:rFonts w:ascii="Times New Roman" w:hAnsi="Times New Roman" w:cs="Times New Roman"/>
          <w:sz w:val="28"/>
          <w:szCs w:val="28"/>
        </w:rPr>
      </w:pPr>
      <w:r w:rsidRPr="00E75DE8">
        <w:rPr>
          <w:rFonts w:ascii="Times New Roman" w:hAnsi="Times New Roman" w:cs="Times New Roman"/>
          <w:sz w:val="28"/>
          <w:szCs w:val="28"/>
        </w:rPr>
        <w:t>720020, г. Бишкек, ул. Ахунбаева, 92</w:t>
      </w: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2508F9" w:rsidRDefault="00E75DE8"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7B6E3A" w:rsidRPr="002508F9" w:rsidRDefault="007B6E3A"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p w:rsidR="00E75DE8" w:rsidRPr="00E75DE8" w:rsidRDefault="00E75DE8" w:rsidP="00E75DE8">
      <w:pPr>
        <w:spacing w:after="0" w:line="240" w:lineRule="auto"/>
        <w:jc w:val="both"/>
        <w:rPr>
          <w:rFonts w:ascii="Times New Roman" w:hAnsi="Times New Roman" w:cs="Times New Roman"/>
          <w:sz w:val="28"/>
          <w:szCs w:val="28"/>
          <w:lang w:val="en-US"/>
        </w:rPr>
      </w:pPr>
    </w:p>
    <w:sectPr w:rsidR="00E75DE8" w:rsidRPr="00E75DE8" w:rsidSect="007B6E3A">
      <w:footerReference w:type="default" r:id="rId19"/>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69" w:rsidRDefault="00B44469" w:rsidP="007B6E3A">
      <w:pPr>
        <w:spacing w:after="0" w:line="240" w:lineRule="auto"/>
      </w:pPr>
      <w:r>
        <w:separator/>
      </w:r>
    </w:p>
  </w:endnote>
  <w:endnote w:type="continuationSeparator" w:id="0">
    <w:p w:rsidR="00B44469" w:rsidRDefault="00B44469" w:rsidP="007B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211645"/>
      <w:docPartObj>
        <w:docPartGallery w:val="Page Numbers (Bottom of Page)"/>
        <w:docPartUnique/>
      </w:docPartObj>
    </w:sdtPr>
    <w:sdtEndPr/>
    <w:sdtContent>
      <w:p w:rsidR="00607FA2" w:rsidRDefault="00607FA2">
        <w:pPr>
          <w:pStyle w:val="aa"/>
          <w:jc w:val="center"/>
        </w:pPr>
        <w:r>
          <w:fldChar w:fldCharType="begin"/>
        </w:r>
        <w:r>
          <w:instrText>PAGE   \* MERGEFORMAT</w:instrText>
        </w:r>
        <w:r>
          <w:fldChar w:fldCharType="separate"/>
        </w:r>
        <w:r w:rsidR="00143E10">
          <w:rPr>
            <w:noProof/>
          </w:rPr>
          <w:t>4</w:t>
        </w:r>
        <w:r>
          <w:fldChar w:fldCharType="end"/>
        </w:r>
      </w:p>
    </w:sdtContent>
  </w:sdt>
  <w:p w:rsidR="00607FA2" w:rsidRDefault="00607F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69" w:rsidRDefault="00B44469" w:rsidP="007B6E3A">
      <w:pPr>
        <w:spacing w:after="0" w:line="240" w:lineRule="auto"/>
      </w:pPr>
      <w:r>
        <w:separator/>
      </w:r>
    </w:p>
  </w:footnote>
  <w:footnote w:type="continuationSeparator" w:id="0">
    <w:p w:rsidR="00B44469" w:rsidRDefault="00B44469" w:rsidP="007B6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E8"/>
    <w:rsid w:val="00016B4F"/>
    <w:rsid w:val="00017884"/>
    <w:rsid w:val="00022E0D"/>
    <w:rsid w:val="00027B45"/>
    <w:rsid w:val="00030160"/>
    <w:rsid w:val="000426DD"/>
    <w:rsid w:val="00073829"/>
    <w:rsid w:val="00075467"/>
    <w:rsid w:val="000837A5"/>
    <w:rsid w:val="00084651"/>
    <w:rsid w:val="00095E59"/>
    <w:rsid w:val="0009677B"/>
    <w:rsid w:val="0009734E"/>
    <w:rsid w:val="000B0993"/>
    <w:rsid w:val="000B27CE"/>
    <w:rsid w:val="000B537B"/>
    <w:rsid w:val="000C468F"/>
    <w:rsid w:val="000D08C8"/>
    <w:rsid w:val="000D1FBB"/>
    <w:rsid w:val="000D2840"/>
    <w:rsid w:val="000D4349"/>
    <w:rsid w:val="000E3286"/>
    <w:rsid w:val="000E421E"/>
    <w:rsid w:val="000E73DD"/>
    <w:rsid w:val="000F1807"/>
    <w:rsid w:val="000F6758"/>
    <w:rsid w:val="00102329"/>
    <w:rsid w:val="00110CD4"/>
    <w:rsid w:val="001162E3"/>
    <w:rsid w:val="00123C6C"/>
    <w:rsid w:val="001301DD"/>
    <w:rsid w:val="001353CE"/>
    <w:rsid w:val="00143E10"/>
    <w:rsid w:val="00145095"/>
    <w:rsid w:val="0014685F"/>
    <w:rsid w:val="00156715"/>
    <w:rsid w:val="001650B7"/>
    <w:rsid w:val="00167474"/>
    <w:rsid w:val="001679A5"/>
    <w:rsid w:val="00171EF6"/>
    <w:rsid w:val="00174826"/>
    <w:rsid w:val="00175073"/>
    <w:rsid w:val="0017624E"/>
    <w:rsid w:val="0017649D"/>
    <w:rsid w:val="001962E5"/>
    <w:rsid w:val="001A268B"/>
    <w:rsid w:val="001A7B8B"/>
    <w:rsid w:val="001C30CF"/>
    <w:rsid w:val="001C50A2"/>
    <w:rsid w:val="001D40A0"/>
    <w:rsid w:val="001D5142"/>
    <w:rsid w:val="001D7953"/>
    <w:rsid w:val="001D7D57"/>
    <w:rsid w:val="001D7E80"/>
    <w:rsid w:val="001E2E42"/>
    <w:rsid w:val="001E599C"/>
    <w:rsid w:val="001E68B3"/>
    <w:rsid w:val="001F0E13"/>
    <w:rsid w:val="002025BE"/>
    <w:rsid w:val="00213EC5"/>
    <w:rsid w:val="00220E49"/>
    <w:rsid w:val="002240B2"/>
    <w:rsid w:val="00237DB8"/>
    <w:rsid w:val="00240A72"/>
    <w:rsid w:val="00241564"/>
    <w:rsid w:val="002508F9"/>
    <w:rsid w:val="00250BA3"/>
    <w:rsid w:val="00252083"/>
    <w:rsid w:val="00254489"/>
    <w:rsid w:val="0025621E"/>
    <w:rsid w:val="00267FF5"/>
    <w:rsid w:val="002722E1"/>
    <w:rsid w:val="00274EF9"/>
    <w:rsid w:val="00277C57"/>
    <w:rsid w:val="002801F6"/>
    <w:rsid w:val="0028049E"/>
    <w:rsid w:val="0028467A"/>
    <w:rsid w:val="002852C3"/>
    <w:rsid w:val="002A388F"/>
    <w:rsid w:val="002A38D1"/>
    <w:rsid w:val="002A3EA1"/>
    <w:rsid w:val="002B2A90"/>
    <w:rsid w:val="002B462A"/>
    <w:rsid w:val="002B578F"/>
    <w:rsid w:val="002B7DE7"/>
    <w:rsid w:val="002C0D45"/>
    <w:rsid w:val="002C4779"/>
    <w:rsid w:val="002D4C58"/>
    <w:rsid w:val="002E20E1"/>
    <w:rsid w:val="002E779D"/>
    <w:rsid w:val="002E787E"/>
    <w:rsid w:val="002F39FF"/>
    <w:rsid w:val="003066F6"/>
    <w:rsid w:val="003100CF"/>
    <w:rsid w:val="00315341"/>
    <w:rsid w:val="00315345"/>
    <w:rsid w:val="00317B58"/>
    <w:rsid w:val="00323B8D"/>
    <w:rsid w:val="00334BE2"/>
    <w:rsid w:val="00335750"/>
    <w:rsid w:val="00340E2E"/>
    <w:rsid w:val="00342A37"/>
    <w:rsid w:val="00343A7D"/>
    <w:rsid w:val="00345902"/>
    <w:rsid w:val="003653D2"/>
    <w:rsid w:val="00371320"/>
    <w:rsid w:val="003727F5"/>
    <w:rsid w:val="00374380"/>
    <w:rsid w:val="003777F0"/>
    <w:rsid w:val="00397C3D"/>
    <w:rsid w:val="003A0BBB"/>
    <w:rsid w:val="003A3BA4"/>
    <w:rsid w:val="003A6955"/>
    <w:rsid w:val="003B3C24"/>
    <w:rsid w:val="003C0C11"/>
    <w:rsid w:val="003C2A0C"/>
    <w:rsid w:val="003C432A"/>
    <w:rsid w:val="003C7DB3"/>
    <w:rsid w:val="003D74A5"/>
    <w:rsid w:val="003E0A6B"/>
    <w:rsid w:val="003E522E"/>
    <w:rsid w:val="00415E02"/>
    <w:rsid w:val="00415E92"/>
    <w:rsid w:val="00422580"/>
    <w:rsid w:val="00436919"/>
    <w:rsid w:val="00441590"/>
    <w:rsid w:val="00451313"/>
    <w:rsid w:val="004532FD"/>
    <w:rsid w:val="00457CE3"/>
    <w:rsid w:val="004607EE"/>
    <w:rsid w:val="00465206"/>
    <w:rsid w:val="00470CFB"/>
    <w:rsid w:val="00473607"/>
    <w:rsid w:val="00473F90"/>
    <w:rsid w:val="004773FF"/>
    <w:rsid w:val="004929C4"/>
    <w:rsid w:val="004B721C"/>
    <w:rsid w:val="004C5762"/>
    <w:rsid w:val="004C755C"/>
    <w:rsid w:val="004C7864"/>
    <w:rsid w:val="004C7EB3"/>
    <w:rsid w:val="004D7C87"/>
    <w:rsid w:val="004E343E"/>
    <w:rsid w:val="004E6DF2"/>
    <w:rsid w:val="004F155C"/>
    <w:rsid w:val="004F174A"/>
    <w:rsid w:val="004F1E19"/>
    <w:rsid w:val="004F2723"/>
    <w:rsid w:val="004F363C"/>
    <w:rsid w:val="00515DC5"/>
    <w:rsid w:val="00516BF9"/>
    <w:rsid w:val="00516E74"/>
    <w:rsid w:val="00517CA7"/>
    <w:rsid w:val="00520DB8"/>
    <w:rsid w:val="00520FC6"/>
    <w:rsid w:val="005302A5"/>
    <w:rsid w:val="00533B13"/>
    <w:rsid w:val="00542F0F"/>
    <w:rsid w:val="00546FB6"/>
    <w:rsid w:val="0056504C"/>
    <w:rsid w:val="00567975"/>
    <w:rsid w:val="005829FF"/>
    <w:rsid w:val="00590A22"/>
    <w:rsid w:val="005926F3"/>
    <w:rsid w:val="005A0D7E"/>
    <w:rsid w:val="005A189D"/>
    <w:rsid w:val="005A2647"/>
    <w:rsid w:val="005A370D"/>
    <w:rsid w:val="005A7FEE"/>
    <w:rsid w:val="005B15EA"/>
    <w:rsid w:val="005B28CF"/>
    <w:rsid w:val="005B6795"/>
    <w:rsid w:val="005B68A2"/>
    <w:rsid w:val="005B6AB9"/>
    <w:rsid w:val="005C3312"/>
    <w:rsid w:val="005C6150"/>
    <w:rsid w:val="005E049F"/>
    <w:rsid w:val="005F152E"/>
    <w:rsid w:val="005F795B"/>
    <w:rsid w:val="00607FA2"/>
    <w:rsid w:val="006136E2"/>
    <w:rsid w:val="00614116"/>
    <w:rsid w:val="00620F79"/>
    <w:rsid w:val="00623C6B"/>
    <w:rsid w:val="006262A6"/>
    <w:rsid w:val="006264BB"/>
    <w:rsid w:val="00631AAD"/>
    <w:rsid w:val="0064259A"/>
    <w:rsid w:val="00645FEC"/>
    <w:rsid w:val="0065197B"/>
    <w:rsid w:val="0065681F"/>
    <w:rsid w:val="0066322C"/>
    <w:rsid w:val="006672A3"/>
    <w:rsid w:val="00667F13"/>
    <w:rsid w:val="00670B4D"/>
    <w:rsid w:val="0068266A"/>
    <w:rsid w:val="0068663F"/>
    <w:rsid w:val="006909A1"/>
    <w:rsid w:val="00694217"/>
    <w:rsid w:val="006B0AC3"/>
    <w:rsid w:val="006B7623"/>
    <w:rsid w:val="006C7F35"/>
    <w:rsid w:val="006D4370"/>
    <w:rsid w:val="006E36C5"/>
    <w:rsid w:val="006E7D12"/>
    <w:rsid w:val="006F4727"/>
    <w:rsid w:val="00706A85"/>
    <w:rsid w:val="00722199"/>
    <w:rsid w:val="00723720"/>
    <w:rsid w:val="007245C9"/>
    <w:rsid w:val="00724FC1"/>
    <w:rsid w:val="0073524D"/>
    <w:rsid w:val="00736295"/>
    <w:rsid w:val="00737E3B"/>
    <w:rsid w:val="00740C27"/>
    <w:rsid w:val="007425C8"/>
    <w:rsid w:val="007446C1"/>
    <w:rsid w:val="00746082"/>
    <w:rsid w:val="0076374F"/>
    <w:rsid w:val="00777C5D"/>
    <w:rsid w:val="0078263A"/>
    <w:rsid w:val="007B0C0E"/>
    <w:rsid w:val="007B1DF9"/>
    <w:rsid w:val="007B50E1"/>
    <w:rsid w:val="007B5A33"/>
    <w:rsid w:val="007B6E3A"/>
    <w:rsid w:val="007B7D72"/>
    <w:rsid w:val="007C031C"/>
    <w:rsid w:val="007C059C"/>
    <w:rsid w:val="007C48AD"/>
    <w:rsid w:val="007C68A4"/>
    <w:rsid w:val="007D5EFF"/>
    <w:rsid w:val="007E1796"/>
    <w:rsid w:val="007E5187"/>
    <w:rsid w:val="007F26CF"/>
    <w:rsid w:val="007F5D7F"/>
    <w:rsid w:val="0080458F"/>
    <w:rsid w:val="00806E9E"/>
    <w:rsid w:val="00813EE4"/>
    <w:rsid w:val="00821738"/>
    <w:rsid w:val="00830C28"/>
    <w:rsid w:val="008321E7"/>
    <w:rsid w:val="00834C5D"/>
    <w:rsid w:val="00837107"/>
    <w:rsid w:val="0083785C"/>
    <w:rsid w:val="00837AB4"/>
    <w:rsid w:val="00865838"/>
    <w:rsid w:val="00865BD3"/>
    <w:rsid w:val="00871F70"/>
    <w:rsid w:val="00873B4E"/>
    <w:rsid w:val="008769B1"/>
    <w:rsid w:val="00885DC9"/>
    <w:rsid w:val="00887074"/>
    <w:rsid w:val="008A191F"/>
    <w:rsid w:val="008A2835"/>
    <w:rsid w:val="008A2F1B"/>
    <w:rsid w:val="008A73AB"/>
    <w:rsid w:val="008B1842"/>
    <w:rsid w:val="008B7493"/>
    <w:rsid w:val="008B7BE2"/>
    <w:rsid w:val="008C180C"/>
    <w:rsid w:val="008C6800"/>
    <w:rsid w:val="008D5778"/>
    <w:rsid w:val="008F1588"/>
    <w:rsid w:val="008F1C05"/>
    <w:rsid w:val="008F238B"/>
    <w:rsid w:val="00916CB4"/>
    <w:rsid w:val="00920A14"/>
    <w:rsid w:val="009216D3"/>
    <w:rsid w:val="009273C7"/>
    <w:rsid w:val="00931CF7"/>
    <w:rsid w:val="0093626E"/>
    <w:rsid w:val="00941D02"/>
    <w:rsid w:val="009451E4"/>
    <w:rsid w:val="00946D52"/>
    <w:rsid w:val="00947694"/>
    <w:rsid w:val="00947FB7"/>
    <w:rsid w:val="00957D68"/>
    <w:rsid w:val="00966C6E"/>
    <w:rsid w:val="009831E8"/>
    <w:rsid w:val="00983444"/>
    <w:rsid w:val="009977BF"/>
    <w:rsid w:val="009978ED"/>
    <w:rsid w:val="009A1383"/>
    <w:rsid w:val="009A3EAD"/>
    <w:rsid w:val="009A5173"/>
    <w:rsid w:val="009A75F0"/>
    <w:rsid w:val="009B3C55"/>
    <w:rsid w:val="009B63EE"/>
    <w:rsid w:val="009B7E64"/>
    <w:rsid w:val="009D3A35"/>
    <w:rsid w:val="009D41FE"/>
    <w:rsid w:val="009D5454"/>
    <w:rsid w:val="009D5904"/>
    <w:rsid w:val="009E1952"/>
    <w:rsid w:val="009F2C08"/>
    <w:rsid w:val="009F4FE7"/>
    <w:rsid w:val="00A03F2E"/>
    <w:rsid w:val="00A1044F"/>
    <w:rsid w:val="00A2051F"/>
    <w:rsid w:val="00A221D5"/>
    <w:rsid w:val="00A22671"/>
    <w:rsid w:val="00A34284"/>
    <w:rsid w:val="00A348D8"/>
    <w:rsid w:val="00A44FEE"/>
    <w:rsid w:val="00A503B4"/>
    <w:rsid w:val="00A50A1B"/>
    <w:rsid w:val="00A604BA"/>
    <w:rsid w:val="00A60EC5"/>
    <w:rsid w:val="00A6399E"/>
    <w:rsid w:val="00A63EC4"/>
    <w:rsid w:val="00A836F3"/>
    <w:rsid w:val="00A871B1"/>
    <w:rsid w:val="00A958C0"/>
    <w:rsid w:val="00AB0BEB"/>
    <w:rsid w:val="00AB16DF"/>
    <w:rsid w:val="00AB3271"/>
    <w:rsid w:val="00AB4180"/>
    <w:rsid w:val="00AC0D90"/>
    <w:rsid w:val="00AC2050"/>
    <w:rsid w:val="00AC544D"/>
    <w:rsid w:val="00AD6118"/>
    <w:rsid w:val="00AD7C8D"/>
    <w:rsid w:val="00AE18C6"/>
    <w:rsid w:val="00AE2279"/>
    <w:rsid w:val="00AE3C91"/>
    <w:rsid w:val="00AE7B49"/>
    <w:rsid w:val="00B027B1"/>
    <w:rsid w:val="00B05FCB"/>
    <w:rsid w:val="00B06034"/>
    <w:rsid w:val="00B06CC5"/>
    <w:rsid w:val="00B11A8F"/>
    <w:rsid w:val="00B135F0"/>
    <w:rsid w:val="00B16ECD"/>
    <w:rsid w:val="00B331DD"/>
    <w:rsid w:val="00B33AAD"/>
    <w:rsid w:val="00B40115"/>
    <w:rsid w:val="00B40266"/>
    <w:rsid w:val="00B41B75"/>
    <w:rsid w:val="00B4290A"/>
    <w:rsid w:val="00B44469"/>
    <w:rsid w:val="00B54A93"/>
    <w:rsid w:val="00B60E41"/>
    <w:rsid w:val="00B671D1"/>
    <w:rsid w:val="00B777A9"/>
    <w:rsid w:val="00B868C9"/>
    <w:rsid w:val="00B872FD"/>
    <w:rsid w:val="00B92CC9"/>
    <w:rsid w:val="00B96C7C"/>
    <w:rsid w:val="00BA0865"/>
    <w:rsid w:val="00BA2BFE"/>
    <w:rsid w:val="00BB090F"/>
    <w:rsid w:val="00BB2FCC"/>
    <w:rsid w:val="00BC62B2"/>
    <w:rsid w:val="00BD2A82"/>
    <w:rsid w:val="00BD2EDF"/>
    <w:rsid w:val="00BD4944"/>
    <w:rsid w:val="00BD5641"/>
    <w:rsid w:val="00BF2EB6"/>
    <w:rsid w:val="00C069E5"/>
    <w:rsid w:val="00C17C66"/>
    <w:rsid w:val="00C23264"/>
    <w:rsid w:val="00C24958"/>
    <w:rsid w:val="00C259D2"/>
    <w:rsid w:val="00C45996"/>
    <w:rsid w:val="00C5332A"/>
    <w:rsid w:val="00C53FEA"/>
    <w:rsid w:val="00C67F28"/>
    <w:rsid w:val="00C75C03"/>
    <w:rsid w:val="00C770E5"/>
    <w:rsid w:val="00C84F09"/>
    <w:rsid w:val="00C90BB5"/>
    <w:rsid w:val="00C90E14"/>
    <w:rsid w:val="00C92032"/>
    <w:rsid w:val="00C9209C"/>
    <w:rsid w:val="00C94B26"/>
    <w:rsid w:val="00C953C3"/>
    <w:rsid w:val="00CA0E99"/>
    <w:rsid w:val="00CA7C08"/>
    <w:rsid w:val="00CB3E0B"/>
    <w:rsid w:val="00CB5979"/>
    <w:rsid w:val="00CC02BC"/>
    <w:rsid w:val="00CC1CC3"/>
    <w:rsid w:val="00CC52CB"/>
    <w:rsid w:val="00CC585B"/>
    <w:rsid w:val="00CD6788"/>
    <w:rsid w:val="00CE1A1D"/>
    <w:rsid w:val="00CE1F68"/>
    <w:rsid w:val="00CE5275"/>
    <w:rsid w:val="00CF0C43"/>
    <w:rsid w:val="00CF15A3"/>
    <w:rsid w:val="00CF3ECE"/>
    <w:rsid w:val="00CF4142"/>
    <w:rsid w:val="00CF514E"/>
    <w:rsid w:val="00CF563F"/>
    <w:rsid w:val="00D01C4D"/>
    <w:rsid w:val="00D10A6C"/>
    <w:rsid w:val="00D215FE"/>
    <w:rsid w:val="00D21B11"/>
    <w:rsid w:val="00D22E10"/>
    <w:rsid w:val="00D278EE"/>
    <w:rsid w:val="00D342BC"/>
    <w:rsid w:val="00D36D9A"/>
    <w:rsid w:val="00D3709F"/>
    <w:rsid w:val="00D42347"/>
    <w:rsid w:val="00D43D6D"/>
    <w:rsid w:val="00D43F7B"/>
    <w:rsid w:val="00D456A5"/>
    <w:rsid w:val="00D46A87"/>
    <w:rsid w:val="00D60693"/>
    <w:rsid w:val="00D60A2A"/>
    <w:rsid w:val="00D62F08"/>
    <w:rsid w:val="00D67E5D"/>
    <w:rsid w:val="00D700DB"/>
    <w:rsid w:val="00D779D7"/>
    <w:rsid w:val="00D83836"/>
    <w:rsid w:val="00D9389C"/>
    <w:rsid w:val="00D974E1"/>
    <w:rsid w:val="00DA22BA"/>
    <w:rsid w:val="00DA72E4"/>
    <w:rsid w:val="00DA730D"/>
    <w:rsid w:val="00DB0329"/>
    <w:rsid w:val="00DB64F6"/>
    <w:rsid w:val="00DC05BE"/>
    <w:rsid w:val="00DC4B69"/>
    <w:rsid w:val="00DC66AE"/>
    <w:rsid w:val="00DC6974"/>
    <w:rsid w:val="00DD339B"/>
    <w:rsid w:val="00DD43D5"/>
    <w:rsid w:val="00DE212E"/>
    <w:rsid w:val="00DE6FEE"/>
    <w:rsid w:val="00DF3558"/>
    <w:rsid w:val="00DF5D66"/>
    <w:rsid w:val="00E016DB"/>
    <w:rsid w:val="00E03408"/>
    <w:rsid w:val="00E2106C"/>
    <w:rsid w:val="00E23FE7"/>
    <w:rsid w:val="00E259FD"/>
    <w:rsid w:val="00E25AFE"/>
    <w:rsid w:val="00E31DA6"/>
    <w:rsid w:val="00E355AD"/>
    <w:rsid w:val="00E40AB0"/>
    <w:rsid w:val="00E41506"/>
    <w:rsid w:val="00E51515"/>
    <w:rsid w:val="00E51516"/>
    <w:rsid w:val="00E54B90"/>
    <w:rsid w:val="00E57710"/>
    <w:rsid w:val="00E71ABD"/>
    <w:rsid w:val="00E75DE8"/>
    <w:rsid w:val="00E85C03"/>
    <w:rsid w:val="00E86BE7"/>
    <w:rsid w:val="00E911C3"/>
    <w:rsid w:val="00EA6D62"/>
    <w:rsid w:val="00EB2A10"/>
    <w:rsid w:val="00EC1E82"/>
    <w:rsid w:val="00EC460E"/>
    <w:rsid w:val="00EE08FF"/>
    <w:rsid w:val="00F0350A"/>
    <w:rsid w:val="00F042B8"/>
    <w:rsid w:val="00F06B8A"/>
    <w:rsid w:val="00F130FA"/>
    <w:rsid w:val="00F13DEF"/>
    <w:rsid w:val="00F2074D"/>
    <w:rsid w:val="00F20843"/>
    <w:rsid w:val="00F22EC8"/>
    <w:rsid w:val="00F31A2C"/>
    <w:rsid w:val="00F70FD6"/>
    <w:rsid w:val="00F71408"/>
    <w:rsid w:val="00F71E49"/>
    <w:rsid w:val="00F71E8A"/>
    <w:rsid w:val="00F83D28"/>
    <w:rsid w:val="00F90879"/>
    <w:rsid w:val="00F92FA1"/>
    <w:rsid w:val="00F97120"/>
    <w:rsid w:val="00FB3AE0"/>
    <w:rsid w:val="00FB5439"/>
    <w:rsid w:val="00FB7865"/>
    <w:rsid w:val="00FD0935"/>
    <w:rsid w:val="00FD2121"/>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BBD3C-B29B-4A47-9663-B1B241CB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E75DE8"/>
  </w:style>
  <w:style w:type="table" w:customStyle="1" w:styleId="TableNormal1">
    <w:name w:val="Table Normal1"/>
    <w:uiPriority w:val="2"/>
    <w:semiHidden/>
    <w:unhideWhenUsed/>
    <w:qFormat/>
    <w:rsid w:val="00310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43A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A7D"/>
    <w:rPr>
      <w:rFonts w:ascii="Tahoma" w:hAnsi="Tahoma" w:cs="Tahoma"/>
      <w:sz w:val="16"/>
      <w:szCs w:val="16"/>
    </w:rPr>
  </w:style>
  <w:style w:type="paragraph" w:customStyle="1" w:styleId="Default">
    <w:name w:val="Default"/>
    <w:qFormat/>
    <w:rsid w:val="00D01C4D"/>
    <w:pPr>
      <w:autoSpaceDE w:val="0"/>
      <w:autoSpaceDN w:val="0"/>
      <w:adjustRightInd w:val="0"/>
      <w:spacing w:after="0" w:line="240" w:lineRule="auto"/>
    </w:pPr>
    <w:rPr>
      <w:rFonts w:ascii="NewtonC" w:eastAsia="SimSun" w:hAnsi="NewtonC" w:cs="NewtonC"/>
      <w:color w:val="000000"/>
      <w:sz w:val="24"/>
      <w:szCs w:val="24"/>
      <w:lang w:eastAsia="zh-CN"/>
    </w:rPr>
  </w:style>
  <w:style w:type="paragraph" w:styleId="a7">
    <w:name w:val="List Paragraph"/>
    <w:basedOn w:val="a"/>
    <w:uiPriority w:val="34"/>
    <w:qFormat/>
    <w:rsid w:val="00EB2A10"/>
    <w:pPr>
      <w:ind w:left="720"/>
      <w:contextualSpacing/>
    </w:pPr>
  </w:style>
  <w:style w:type="paragraph" w:styleId="a8">
    <w:name w:val="header"/>
    <w:basedOn w:val="a"/>
    <w:link w:val="a9"/>
    <w:uiPriority w:val="99"/>
    <w:unhideWhenUsed/>
    <w:rsid w:val="007B6E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6E3A"/>
  </w:style>
  <w:style w:type="paragraph" w:styleId="aa">
    <w:name w:val="footer"/>
    <w:basedOn w:val="a"/>
    <w:link w:val="ab"/>
    <w:uiPriority w:val="99"/>
    <w:unhideWhenUsed/>
    <w:rsid w:val="007B6E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6E3A"/>
  </w:style>
  <w:style w:type="character" w:styleId="ac">
    <w:name w:val="Hyperlink"/>
    <w:basedOn w:val="a0"/>
    <w:uiPriority w:val="99"/>
    <w:unhideWhenUsed/>
    <w:rsid w:val="000D1FBB"/>
    <w:rPr>
      <w:color w:val="0000FF" w:themeColor="hyperlink"/>
      <w:u w:val="single"/>
    </w:rPr>
  </w:style>
  <w:style w:type="character" w:styleId="ad">
    <w:name w:val="FollowedHyperlink"/>
    <w:basedOn w:val="a0"/>
    <w:uiPriority w:val="99"/>
    <w:semiHidden/>
    <w:unhideWhenUsed/>
    <w:rsid w:val="000D1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www.elibrary.ru/item.asp?id=5075783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www.elibrary.ru/item.asp?id=48164464" TargetMode="External"/><Relationship Id="rId2" Type="http://schemas.openxmlformats.org/officeDocument/2006/relationships/settings" Target="settings.xml"/><Relationship Id="rId16" Type="http://schemas.openxmlformats.org/officeDocument/2006/relationships/hyperlink" Target="https://www.elibrary.ru/item.asp?id=4956455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yperlink" Target="https://www.elibrary.ru/item.asp?id=46644442" TargetMode="External"/><Relationship Id="rId10" Type="http://schemas.openxmlformats.org/officeDocument/2006/relationships/chart" Target="charts/chart5.xm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60;&#1042;&#104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60;&#1042;&#104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57;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57;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53;&#1057;&#1058;_&#1092;&#1072;&#1075;&#1086;&#1094;&#1080;&#1090;&#1086;&#107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62;&#1080;&#1090;&#1086;&#1082;&#1080;&#1085;&#109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62;&#1080;&#1090;&#1086;&#1082;&#1080;&#1085;&#109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1048;&#1075;&#1086;&#1088;&#1100;\Home\2021\&#1069;&#1082;&#1086;&#1083;&#1086;&#1075;&#1080;&#1103;_&#1076;&#1099;&#1093;&#1072;&#1085;&#1080;&#1077;\&#1044;&#1080;&#1072;&#1075;&#1088;&#1072;&#1084;&#1084;&#1072;\&#1062;&#1080;&#1090;&#1086;&#1082;&#1080;&#1085;&#109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40157480314997E-2"/>
          <c:y val="0.15076923076923099"/>
          <c:w val="0.91238845144356995"/>
          <c:h val="0.65362051282051303"/>
        </c:manualLayout>
      </c:layout>
      <c:barChart>
        <c:barDir val="col"/>
        <c:grouping val="clustered"/>
        <c:varyColors val="0"/>
        <c:ser>
          <c:idx val="0"/>
          <c:order val="0"/>
          <c:tx>
            <c:strRef>
              <c:f>'[ФВД.xlsx]Лист1 (8)'!$B$4</c:f>
              <c:strCache>
                <c:ptCount val="1"/>
                <c:pt idx="0">
                  <c:v>Группа 1 (Контроль)</c:v>
                </c:pt>
              </c:strCache>
            </c:strRef>
          </c:tx>
          <c:spPr>
            <a:solidFill>
              <a:schemeClr val="accent1"/>
            </a:solidFill>
            <a:ln>
              <a:noFill/>
            </a:ln>
            <a:effectLst/>
          </c:spPr>
          <c:invertIfNegative val="0"/>
          <c:dLbls>
            <c:dLbl>
              <c:idx val="0"/>
              <c:layout>
                <c:manualLayout>
                  <c:x val="1.9610406589096602E-3"/>
                  <c:y val="-6.534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'[ФВД.xlsx]Лист1 (8)'!$C$3:$D$3</c:f>
              <c:strCache>
                <c:ptCount val="2"/>
                <c:pt idx="0">
                  <c:v>ЖЕЛ (л)</c:v>
                </c:pt>
                <c:pt idx="1">
                  <c:v>ОФВ1 (л)</c:v>
                </c:pt>
              </c:strCache>
            </c:strRef>
          </c:cat>
          <c:val>
            <c:numRef>
              <c:f>'[ФВД.xlsx]Лист1 (8)'!$C$4:$D$4</c:f>
              <c:numCache>
                <c:formatCode>General</c:formatCode>
                <c:ptCount val="2"/>
                <c:pt idx="0">
                  <c:v>5.0599999999999996</c:v>
                </c:pt>
                <c:pt idx="1">
                  <c:v>4.22</c:v>
                </c:pt>
              </c:numCache>
            </c:numRef>
          </c:val>
        </c:ser>
        <c:ser>
          <c:idx val="1"/>
          <c:order val="1"/>
          <c:tx>
            <c:strRef>
              <c:f>'[ФВД.xlsx]Лист1 (8)'!$B$5</c:f>
              <c:strCache>
                <c:ptCount val="1"/>
                <c:pt idx="0">
                  <c:v>Группа 2 (ЦЗ)</c:v>
                </c:pt>
              </c:strCache>
            </c:strRef>
          </c:tx>
          <c:spPr>
            <a:solidFill>
              <a:schemeClr val="accent2"/>
            </a:solidFill>
            <a:ln>
              <a:noFill/>
            </a:ln>
            <a:effectLst/>
          </c:spPr>
          <c:invertIfNegative val="0"/>
          <c:dLbls>
            <c:dLbl>
              <c:idx val="0"/>
              <c:layout>
                <c:manualLayout>
                  <c:x val="5.8831219767289797E-3"/>
                  <c:y val="-5.11363636363635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'[ФВД.xlsx]Лист1 (8)'!$C$3:$D$3</c:f>
              <c:strCache>
                <c:ptCount val="2"/>
                <c:pt idx="0">
                  <c:v>ЖЕЛ (л)</c:v>
                </c:pt>
                <c:pt idx="1">
                  <c:v>ОФВ1 (л)</c:v>
                </c:pt>
              </c:strCache>
            </c:strRef>
          </c:cat>
          <c:val>
            <c:numRef>
              <c:f>'[ФВД.xlsx]Лист1 (8)'!$C$5:$D$5</c:f>
              <c:numCache>
                <c:formatCode>General</c:formatCode>
                <c:ptCount val="2"/>
                <c:pt idx="0">
                  <c:v>3.95</c:v>
                </c:pt>
                <c:pt idx="1">
                  <c:v>3.19</c:v>
                </c:pt>
              </c:numCache>
            </c:numRef>
          </c:val>
        </c:ser>
        <c:ser>
          <c:idx val="2"/>
          <c:order val="2"/>
          <c:tx>
            <c:strRef>
              <c:f>'[ФВД.xlsx]Лист1 (8)'!$B$6</c:f>
              <c:strCache>
                <c:ptCount val="1"/>
                <c:pt idx="0">
                  <c:v>Группа 3 (Тр)</c:v>
                </c:pt>
              </c:strCache>
            </c:strRef>
          </c:tx>
          <c:spPr>
            <a:solidFill>
              <a:schemeClr val="accent3"/>
            </a:solidFill>
            <a:ln>
              <a:noFill/>
            </a:ln>
            <a:effectLst/>
          </c:spPr>
          <c:invertIfNegative val="0"/>
          <c:dLbls>
            <c:dLbl>
              <c:idx val="0"/>
              <c:layout>
                <c:manualLayout>
                  <c:x val="0"/>
                  <c:y val="-5.96590909090908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831219767289797E-3"/>
                  <c:y val="-4.545454545454549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'[ФВД.xlsx]Лист1 (8)'!$C$3:$D$3</c:f>
              <c:strCache>
                <c:ptCount val="2"/>
                <c:pt idx="0">
                  <c:v>ЖЕЛ (л)</c:v>
                </c:pt>
                <c:pt idx="1">
                  <c:v>ОФВ1 (л)</c:v>
                </c:pt>
              </c:strCache>
            </c:strRef>
          </c:cat>
          <c:val>
            <c:numRef>
              <c:f>'[ФВД.xlsx]Лист1 (8)'!$C$6:$D$6</c:f>
              <c:numCache>
                <c:formatCode>General</c:formatCode>
                <c:ptCount val="2"/>
                <c:pt idx="0">
                  <c:v>4.3899999999999997</c:v>
                </c:pt>
                <c:pt idx="1">
                  <c:v>3.76</c:v>
                </c:pt>
              </c:numCache>
            </c:numRef>
          </c:val>
        </c:ser>
        <c:dLbls>
          <c:showLegendKey val="0"/>
          <c:showVal val="1"/>
          <c:showCatName val="0"/>
          <c:showSerName val="0"/>
          <c:showPercent val="0"/>
          <c:showBubbleSize val="0"/>
        </c:dLbls>
        <c:gapWidth val="219"/>
        <c:overlap val="-27"/>
        <c:axId val="451270648"/>
        <c:axId val="451273784"/>
      </c:barChart>
      <c:catAx>
        <c:axId val="451270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crossAx val="451273784"/>
        <c:crosses val="autoZero"/>
        <c:auto val="1"/>
        <c:lblAlgn val="ctr"/>
        <c:lblOffset val="100"/>
        <c:noMultiLvlLbl val="0"/>
      </c:catAx>
      <c:valAx>
        <c:axId val="451273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crossAx val="451270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158059877108119"/>
          <c:y val="0.90909090909090895"/>
          <c:w val="0.72166296247875505"/>
          <c:h val="6.8181818181818205E-2"/>
        </c:manualLayout>
      </c:layout>
      <c:overlay val="0"/>
      <c:spPr>
        <a:noFill/>
        <a:ln>
          <a:noFill/>
        </a:ln>
        <a:effectLst/>
      </c:spPr>
      <c:txPr>
        <a:bodyPr rot="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4F81BD"/>
      </a:solidFill>
      <a:round/>
    </a:ln>
    <a:effectLst/>
  </c:spPr>
  <c:txPr>
    <a:bodyPr/>
    <a:lstStyle/>
    <a:p>
      <a:pPr>
        <a:defRPr lang="ru-RU" sz="12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40157480314997E-2"/>
          <c:y val="0.15076923076923099"/>
          <c:w val="0.91238845144356995"/>
          <c:h val="0.65362051282051303"/>
        </c:manualLayout>
      </c:layout>
      <c:barChart>
        <c:barDir val="col"/>
        <c:grouping val="clustered"/>
        <c:varyColors val="0"/>
        <c:ser>
          <c:idx val="0"/>
          <c:order val="0"/>
          <c:tx>
            <c:strRef>
              <c:f>'[ФВД.xlsx]Лист1 (9)'!$B$4</c:f>
              <c:strCache>
                <c:ptCount val="1"/>
                <c:pt idx="0">
                  <c:v>Группа 1 (Контроль)</c:v>
                </c:pt>
              </c:strCache>
            </c:strRef>
          </c:tx>
          <c:spPr>
            <a:solidFill>
              <a:schemeClr val="accent1"/>
            </a:solidFill>
            <a:ln>
              <a:noFill/>
            </a:ln>
            <a:effectLst/>
          </c:spPr>
          <c:invertIfNegative val="0"/>
          <c:dLbls>
            <c:dLbl>
              <c:idx val="0"/>
              <c:layout>
                <c:manualLayout>
                  <c:x val="1.9610406589096602E-3"/>
                  <c:y val="-6.534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5227272727272704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'[ФВД.xlsx]Лист1 (9)'!$C$3:$E$3</c:f>
              <c:strCache>
                <c:ptCount val="3"/>
                <c:pt idx="0">
                  <c:v>ДО (л)</c:v>
                </c:pt>
                <c:pt idx="1">
                  <c:v>РОвд (л)</c:v>
                </c:pt>
                <c:pt idx="2">
                  <c:v>РОвыд (л)</c:v>
                </c:pt>
              </c:strCache>
            </c:strRef>
          </c:cat>
          <c:val>
            <c:numRef>
              <c:f>'[ФВД.xlsx]Лист1 (9)'!$C$4:$E$4</c:f>
              <c:numCache>
                <c:formatCode>General</c:formatCode>
                <c:ptCount val="3"/>
                <c:pt idx="0">
                  <c:v>0.81</c:v>
                </c:pt>
                <c:pt idx="1">
                  <c:v>1.81</c:v>
                </c:pt>
                <c:pt idx="2">
                  <c:v>1.39</c:v>
                </c:pt>
              </c:numCache>
            </c:numRef>
          </c:val>
        </c:ser>
        <c:ser>
          <c:idx val="1"/>
          <c:order val="1"/>
          <c:tx>
            <c:strRef>
              <c:f>'[ФВД.xlsx]Лист1 (9)'!$B$5</c:f>
              <c:strCache>
                <c:ptCount val="1"/>
                <c:pt idx="0">
                  <c:v>Группа 2 (ЦЗ)</c:v>
                </c:pt>
              </c:strCache>
            </c:strRef>
          </c:tx>
          <c:spPr>
            <a:solidFill>
              <a:schemeClr val="accent2"/>
            </a:solidFill>
            <a:ln>
              <a:noFill/>
            </a:ln>
            <a:effectLst/>
          </c:spPr>
          <c:invertIfNegative val="0"/>
          <c:dLbls>
            <c:dLbl>
              <c:idx val="0"/>
              <c:layout>
                <c:manualLayout>
                  <c:x val="7.8441626356386494E-3"/>
                  <c:y val="-2.55681818181817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831219767289797E-3"/>
                  <c:y val="-8.23863636363636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8831219767289797E-3"/>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'[ФВД.xlsx]Лист1 (9)'!$C$3:$E$3</c:f>
              <c:strCache>
                <c:ptCount val="3"/>
                <c:pt idx="0">
                  <c:v>ДО (л)</c:v>
                </c:pt>
                <c:pt idx="1">
                  <c:v>РОвд (л)</c:v>
                </c:pt>
                <c:pt idx="2">
                  <c:v>РОвыд (л)</c:v>
                </c:pt>
              </c:strCache>
            </c:strRef>
          </c:cat>
          <c:val>
            <c:numRef>
              <c:f>'[ФВД.xlsx]Лист1 (9)'!$C$5:$E$5</c:f>
              <c:numCache>
                <c:formatCode>General</c:formatCode>
                <c:ptCount val="3"/>
                <c:pt idx="0">
                  <c:v>0.69</c:v>
                </c:pt>
                <c:pt idx="1">
                  <c:v>1.32</c:v>
                </c:pt>
                <c:pt idx="2">
                  <c:v>1.46</c:v>
                </c:pt>
              </c:numCache>
            </c:numRef>
          </c:val>
        </c:ser>
        <c:ser>
          <c:idx val="2"/>
          <c:order val="2"/>
          <c:tx>
            <c:strRef>
              <c:f>'[ФВД.xlsx]Лист1 (9)'!$B$6</c:f>
              <c:strCache>
                <c:ptCount val="1"/>
                <c:pt idx="0">
                  <c:v>Группа 3 (Тр)</c:v>
                </c:pt>
              </c:strCache>
            </c:strRef>
          </c:tx>
          <c:spPr>
            <a:solidFill>
              <a:schemeClr val="accent3"/>
            </a:solidFill>
            <a:ln>
              <a:noFill/>
            </a:ln>
            <a:effectLst/>
          </c:spPr>
          <c:invertIfNegative val="0"/>
          <c:dLbls>
            <c:dLbl>
              <c:idx val="0"/>
              <c:layout>
                <c:manualLayout>
                  <c:x val="7.8441626356386494E-3"/>
                  <c:y val="-2.55681818181817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9.8052032945483095E-3"/>
                  <c:y val="-9.94318181818182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7.8441626356386494E-3"/>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9"/>
            <c:spPr>
              <a:noFill/>
              <a:ln w="9525" cap="flat" cmpd="sng" algn="ctr">
                <a:solidFill>
                  <a:schemeClr val="tx1">
                    <a:lumMod val="65000"/>
                    <a:lumOff val="35000"/>
                  </a:schemeClr>
                </a:solidFill>
                <a:round/>
              </a:ln>
              <a:effectLst/>
            </c:spPr>
          </c:errBars>
          <c:cat>
            <c:strRef>
              <c:f>'[ФВД.xlsx]Лист1 (9)'!$C$3:$E$3</c:f>
              <c:strCache>
                <c:ptCount val="3"/>
                <c:pt idx="0">
                  <c:v>ДО (л)</c:v>
                </c:pt>
                <c:pt idx="1">
                  <c:v>РОвд (л)</c:v>
                </c:pt>
                <c:pt idx="2">
                  <c:v>РОвыд (л)</c:v>
                </c:pt>
              </c:strCache>
            </c:strRef>
          </c:cat>
          <c:val>
            <c:numRef>
              <c:f>'[ФВД.xlsx]Лист1 (9)'!$C$6:$E$6</c:f>
              <c:numCache>
                <c:formatCode>General</c:formatCode>
                <c:ptCount val="3"/>
                <c:pt idx="0">
                  <c:v>0.72</c:v>
                </c:pt>
                <c:pt idx="1">
                  <c:v>1.36</c:v>
                </c:pt>
                <c:pt idx="2">
                  <c:v>1.42</c:v>
                </c:pt>
              </c:numCache>
            </c:numRef>
          </c:val>
        </c:ser>
        <c:dLbls>
          <c:showLegendKey val="0"/>
          <c:showVal val="1"/>
          <c:showCatName val="0"/>
          <c:showSerName val="0"/>
          <c:showPercent val="0"/>
          <c:showBubbleSize val="0"/>
        </c:dLbls>
        <c:gapWidth val="219"/>
        <c:overlap val="-27"/>
        <c:axId val="400293080"/>
        <c:axId val="400293472"/>
      </c:barChart>
      <c:catAx>
        <c:axId val="400293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crossAx val="400293472"/>
        <c:crosses val="autoZero"/>
        <c:auto val="1"/>
        <c:lblAlgn val="ctr"/>
        <c:lblOffset val="100"/>
        <c:noMultiLvlLbl val="0"/>
      </c:catAx>
      <c:valAx>
        <c:axId val="40029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crossAx val="4002930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0"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158059877108119"/>
          <c:y val="0.90909090909090895"/>
          <c:w val="0.72166296247875505"/>
          <c:h val="6.8181818181818205E-2"/>
        </c:manualLayout>
      </c:layout>
      <c:overlay val="0"/>
      <c:spPr>
        <a:noFill/>
        <a:ln>
          <a:noFill/>
        </a:ln>
        <a:effectLst/>
      </c:spPr>
      <c:txPr>
        <a:bodyPr rot="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4F81BD"/>
      </a:solidFill>
      <a:round/>
    </a:ln>
    <a:effectLst/>
  </c:spPr>
  <c:txPr>
    <a:bodyPr/>
    <a:lstStyle/>
    <a:p>
      <a:pPr>
        <a:defRPr lang="ru-RU" sz="12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40157480314997E-2"/>
          <c:y val="0.15076923076923099"/>
          <c:w val="0.91238845144356995"/>
          <c:h val="0.65362051282051303"/>
        </c:manualLayout>
      </c:layout>
      <c:barChart>
        <c:barDir val="col"/>
        <c:grouping val="clustered"/>
        <c:varyColors val="0"/>
        <c:ser>
          <c:idx val="0"/>
          <c:order val="0"/>
          <c:tx>
            <c:strRef>
              <c:f>'[СD.xlsx]Лист1 (10)'!$B$4</c:f>
              <c:strCache>
                <c:ptCount val="1"/>
                <c:pt idx="0">
                  <c:v>Группа 1 (Контроль)</c:v>
                </c:pt>
              </c:strCache>
            </c:strRef>
          </c:tx>
          <c:spPr>
            <a:solidFill>
              <a:schemeClr val="accent1"/>
            </a:solidFill>
            <a:ln>
              <a:noFill/>
            </a:ln>
            <a:effectLst/>
          </c:spPr>
          <c:invertIfNegative val="0"/>
          <c:dLbls>
            <c:dLbl>
              <c:idx val="0"/>
              <c:layout>
                <c:manualLayout>
                  <c:x val="3.9220813178193203E-3"/>
                  <c:y val="-3.69318181818181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'[СD.xlsx]Лист1 (10)'!$C$3:$D$3</c:f>
              <c:strCache>
                <c:ptCount val="2"/>
                <c:pt idx="0">
                  <c:v>CD3+</c:v>
                </c:pt>
                <c:pt idx="1">
                  <c:v>CD4+</c:v>
                </c:pt>
              </c:strCache>
            </c:strRef>
          </c:cat>
          <c:val>
            <c:numRef>
              <c:f>'[СD.xlsx]Лист1 (10)'!$C$4:$D$4</c:f>
              <c:numCache>
                <c:formatCode>General</c:formatCode>
                <c:ptCount val="2"/>
                <c:pt idx="0">
                  <c:v>64</c:v>
                </c:pt>
                <c:pt idx="1">
                  <c:v>45.5</c:v>
                </c:pt>
              </c:numCache>
            </c:numRef>
          </c:val>
        </c:ser>
        <c:ser>
          <c:idx val="1"/>
          <c:order val="1"/>
          <c:tx>
            <c:strRef>
              <c:f>'[СD.xlsx]Лист1 (10)'!$B$5</c:f>
              <c:strCache>
                <c:ptCount val="1"/>
                <c:pt idx="0">
                  <c:v>Группа 2 (ЦЗ)</c:v>
                </c:pt>
              </c:strCache>
            </c:strRef>
          </c:tx>
          <c:spPr>
            <a:solidFill>
              <a:schemeClr val="accent2"/>
            </a:solidFill>
            <a:ln>
              <a:noFill/>
            </a:ln>
            <a:effectLst/>
          </c:spPr>
          <c:invertIfNegative val="0"/>
          <c:dLbls>
            <c:dLbl>
              <c:idx val="0"/>
              <c:layout>
                <c:manualLayout>
                  <c:x val="1.1766243953457999E-2"/>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9"/>
            <c:spPr>
              <a:noFill/>
              <a:ln w="9525" cap="flat" cmpd="sng" algn="ctr">
                <a:solidFill>
                  <a:schemeClr val="tx1">
                    <a:lumMod val="65000"/>
                    <a:lumOff val="35000"/>
                  </a:schemeClr>
                </a:solidFill>
                <a:round/>
              </a:ln>
              <a:effectLst/>
            </c:spPr>
          </c:errBars>
          <c:cat>
            <c:strRef>
              <c:f>'[СD.xlsx]Лист1 (10)'!$C$3:$D$3</c:f>
              <c:strCache>
                <c:ptCount val="2"/>
                <c:pt idx="0">
                  <c:v>CD3+</c:v>
                </c:pt>
                <c:pt idx="1">
                  <c:v>CD4+</c:v>
                </c:pt>
              </c:strCache>
            </c:strRef>
          </c:cat>
          <c:val>
            <c:numRef>
              <c:f>'[СD.xlsx]Лист1 (10)'!$C$5:$D$5</c:f>
              <c:numCache>
                <c:formatCode>General</c:formatCode>
                <c:ptCount val="2"/>
                <c:pt idx="0">
                  <c:v>74.5</c:v>
                </c:pt>
                <c:pt idx="1">
                  <c:v>47</c:v>
                </c:pt>
              </c:numCache>
            </c:numRef>
          </c:val>
        </c:ser>
        <c:ser>
          <c:idx val="2"/>
          <c:order val="2"/>
          <c:tx>
            <c:strRef>
              <c:f>'[СD.xlsx]Лист1 (10)'!$B$6</c:f>
              <c:strCache>
                <c:ptCount val="1"/>
                <c:pt idx="0">
                  <c:v>Группа 3 (Тр)</c:v>
                </c:pt>
              </c:strCache>
            </c:strRef>
          </c:tx>
          <c:spPr>
            <a:solidFill>
              <a:schemeClr val="accent3"/>
            </a:solidFill>
            <a:ln>
              <a:noFill/>
            </a:ln>
            <a:effectLst/>
          </c:spPr>
          <c:invertIfNegative val="0"/>
          <c:dLbls>
            <c:dLbl>
              <c:idx val="0"/>
              <c:layout>
                <c:manualLayout>
                  <c:x val="5.8831219767289797E-3"/>
                  <c:y val="-8.52272727272726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610406589096602E-3"/>
                  <c:y val="-7.95454545454546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7.9750854909623803E-2"/>
                      <c:h val="5.9415745172470703E-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'[СD.xlsx]Лист1 (10)'!$C$3:$D$3</c:f>
              <c:strCache>
                <c:ptCount val="2"/>
                <c:pt idx="0">
                  <c:v>CD3+</c:v>
                </c:pt>
                <c:pt idx="1">
                  <c:v>CD4+</c:v>
                </c:pt>
              </c:strCache>
            </c:strRef>
          </c:cat>
          <c:val>
            <c:numRef>
              <c:f>'[СD.xlsx]Лист1 (10)'!$C$6:$D$6</c:f>
              <c:numCache>
                <c:formatCode>General</c:formatCode>
                <c:ptCount val="2"/>
                <c:pt idx="0">
                  <c:v>76.8</c:v>
                </c:pt>
                <c:pt idx="1">
                  <c:v>50.5</c:v>
                </c:pt>
              </c:numCache>
            </c:numRef>
          </c:val>
        </c:ser>
        <c:dLbls>
          <c:showLegendKey val="0"/>
          <c:showVal val="1"/>
          <c:showCatName val="0"/>
          <c:showSerName val="0"/>
          <c:showPercent val="0"/>
          <c:showBubbleSize val="0"/>
        </c:dLbls>
        <c:gapWidth val="219"/>
        <c:overlap val="-27"/>
        <c:axId val="407672824"/>
        <c:axId val="407673608"/>
      </c:barChart>
      <c:catAx>
        <c:axId val="407672824"/>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chemeClr val="tx1">
                        <a:lumMod val="65000"/>
                        <a:lumOff val="35000"/>
                      </a:schemeClr>
                    </a:solidFill>
                    <a:latin typeface="+mn-lt"/>
                    <a:ea typeface="+mn-ea"/>
                    <a:cs typeface="+mn-cs"/>
                  </a:defRPr>
                </a:pPr>
                <a:r>
                  <a:rPr lang="en-US" altLang="ru-RU" sz="1200"/>
                  <a:t>%</a:t>
                </a:r>
              </a:p>
            </c:rich>
          </c:tx>
          <c:layout>
            <c:manualLayout>
              <c:xMode val="edge"/>
              <c:yMode val="edge"/>
              <c:x val="3.5917518252433299E-2"/>
              <c:y val="3.32912587412591E-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07673608"/>
        <c:crosses val="autoZero"/>
        <c:auto val="1"/>
        <c:lblAlgn val="ctr"/>
        <c:lblOffset val="100"/>
        <c:noMultiLvlLbl val="0"/>
      </c:catAx>
      <c:valAx>
        <c:axId val="40767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076728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egendEntry>
        <c:idx val="1"/>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egendEntry>
        <c:idx val="2"/>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ayout>
        <c:manualLayout>
          <c:xMode val="edge"/>
          <c:yMode val="edge"/>
          <c:x val="0.17008367684446968"/>
          <c:y val="0.93053764440862219"/>
          <c:w val="0.72166296247875505"/>
          <c:h val="6.8181818181818205E-2"/>
        </c:manualLayout>
      </c:layout>
      <c:overlay val="0"/>
      <c:spPr>
        <a:noFill/>
        <a:ln>
          <a:noFill/>
        </a:ln>
        <a:effectLst/>
      </c:spPr>
      <c:txPr>
        <a:bodyPr rot="0" spcFirstLastPara="1"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40157480314997E-2"/>
          <c:y val="0.15076923076923099"/>
          <c:w val="0.91238845144356995"/>
          <c:h val="0.65362051282051303"/>
        </c:manualLayout>
      </c:layout>
      <c:barChart>
        <c:barDir val="col"/>
        <c:grouping val="clustered"/>
        <c:varyColors val="0"/>
        <c:ser>
          <c:idx val="0"/>
          <c:order val="0"/>
          <c:tx>
            <c:strRef>
              <c:f>'[СD.xlsx]Лист1 (8)'!$B$4</c:f>
              <c:strCache>
                <c:ptCount val="1"/>
                <c:pt idx="0">
                  <c:v>Группа 1 (Контроль)</c:v>
                </c:pt>
              </c:strCache>
            </c:strRef>
          </c:tx>
          <c:spPr>
            <a:solidFill>
              <a:schemeClr val="accent1"/>
            </a:solidFill>
            <a:ln>
              <a:noFill/>
            </a:ln>
            <a:effectLst/>
          </c:spPr>
          <c:invertIfNegative val="0"/>
          <c:dLbls>
            <c:dLbl>
              <c:idx val="0"/>
              <c:layout>
                <c:manualLayout>
                  <c:x val="3.9220813178193203E-3"/>
                  <c:y val="-3.69318181818181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'[СD.xlsx]Лист1 (8)'!$C$3:$D$3</c:f>
              <c:strCache>
                <c:ptCount val="2"/>
                <c:pt idx="0">
                  <c:v>CD8+</c:v>
                </c:pt>
                <c:pt idx="1">
                  <c:v>CD20+</c:v>
                </c:pt>
              </c:strCache>
            </c:strRef>
          </c:cat>
          <c:val>
            <c:numRef>
              <c:f>'[СD.xlsx]Лист1 (8)'!$C$4:$D$4</c:f>
              <c:numCache>
                <c:formatCode>General</c:formatCode>
                <c:ptCount val="2"/>
                <c:pt idx="0">
                  <c:v>34.4</c:v>
                </c:pt>
                <c:pt idx="1">
                  <c:v>15.4</c:v>
                </c:pt>
              </c:numCache>
            </c:numRef>
          </c:val>
        </c:ser>
        <c:ser>
          <c:idx val="1"/>
          <c:order val="1"/>
          <c:tx>
            <c:strRef>
              <c:f>'[СD.xlsx]Лист1 (8)'!$B$5</c:f>
              <c:strCache>
                <c:ptCount val="1"/>
                <c:pt idx="0">
                  <c:v>Группа 2 (ЦЗ)</c:v>
                </c:pt>
              </c:strCache>
            </c:strRef>
          </c:tx>
          <c:spPr>
            <a:solidFill>
              <a:schemeClr val="accent2"/>
            </a:solidFill>
            <a:ln>
              <a:noFill/>
            </a:ln>
            <a:effectLst/>
          </c:spPr>
          <c:invertIfNegative val="0"/>
          <c:dLbls>
            <c:dLbl>
              <c:idx val="0"/>
              <c:layout>
                <c:manualLayout>
                  <c:x val="1.1766243953457999E-2"/>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9"/>
            <c:spPr>
              <a:noFill/>
              <a:ln w="9525" cap="flat" cmpd="sng" algn="ctr">
                <a:solidFill>
                  <a:schemeClr val="tx1">
                    <a:lumMod val="65000"/>
                    <a:lumOff val="35000"/>
                  </a:schemeClr>
                </a:solidFill>
                <a:round/>
              </a:ln>
              <a:effectLst/>
            </c:spPr>
          </c:errBars>
          <c:cat>
            <c:strRef>
              <c:f>'[СD.xlsx]Лист1 (8)'!$C$3:$D$3</c:f>
              <c:strCache>
                <c:ptCount val="2"/>
                <c:pt idx="0">
                  <c:v>CD8+</c:v>
                </c:pt>
                <c:pt idx="1">
                  <c:v>CD20+</c:v>
                </c:pt>
              </c:strCache>
            </c:strRef>
          </c:cat>
          <c:val>
            <c:numRef>
              <c:f>'[СD.xlsx]Лист1 (8)'!$C$5:$D$5</c:f>
              <c:numCache>
                <c:formatCode>General</c:formatCode>
                <c:ptCount val="2"/>
                <c:pt idx="0">
                  <c:v>22.5</c:v>
                </c:pt>
                <c:pt idx="1">
                  <c:v>21</c:v>
                </c:pt>
              </c:numCache>
            </c:numRef>
          </c:val>
        </c:ser>
        <c:ser>
          <c:idx val="2"/>
          <c:order val="2"/>
          <c:tx>
            <c:strRef>
              <c:f>'[СD.xlsx]Лист1 (8)'!$B$6</c:f>
              <c:strCache>
                <c:ptCount val="1"/>
                <c:pt idx="0">
                  <c:v>Группа 3 (Тр)</c:v>
                </c:pt>
              </c:strCache>
            </c:strRef>
          </c:tx>
          <c:spPr>
            <a:solidFill>
              <a:schemeClr val="accent3"/>
            </a:solidFill>
            <a:ln>
              <a:noFill/>
            </a:ln>
            <a:effectLst/>
          </c:spPr>
          <c:invertIfNegative val="0"/>
          <c:dLbls>
            <c:dLbl>
              <c:idx val="0"/>
              <c:layout>
                <c:manualLayout>
                  <c:x val="5.8831219767289797E-3"/>
                  <c:y val="-8.52272727272726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610406589096602E-3"/>
                  <c:y val="-7.95454545454546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7262387240162103E-2"/>
                      <c:h val="5.2840909090909098E-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'[СD.xlsx]Лист1 (8)'!$C$3:$D$3</c:f>
              <c:strCache>
                <c:ptCount val="2"/>
                <c:pt idx="0">
                  <c:v>CD8+</c:v>
                </c:pt>
                <c:pt idx="1">
                  <c:v>CD20+</c:v>
                </c:pt>
              </c:strCache>
            </c:strRef>
          </c:cat>
          <c:val>
            <c:numRef>
              <c:f>'[СD.xlsx]Лист1 (8)'!$C$6:$D$6</c:f>
              <c:numCache>
                <c:formatCode>General</c:formatCode>
                <c:ptCount val="2"/>
                <c:pt idx="0">
                  <c:v>24</c:v>
                </c:pt>
                <c:pt idx="1">
                  <c:v>20.7</c:v>
                </c:pt>
              </c:numCache>
            </c:numRef>
          </c:val>
        </c:ser>
        <c:dLbls>
          <c:showLegendKey val="0"/>
          <c:showVal val="1"/>
          <c:showCatName val="0"/>
          <c:showSerName val="0"/>
          <c:showPercent val="0"/>
          <c:showBubbleSize val="0"/>
        </c:dLbls>
        <c:gapWidth val="219"/>
        <c:overlap val="-27"/>
        <c:axId val="407676744"/>
        <c:axId val="407161968"/>
      </c:barChart>
      <c:catAx>
        <c:axId val="407676744"/>
        <c:scaling>
          <c:orientation val="minMax"/>
        </c:scaling>
        <c:delete val="0"/>
        <c:axPos val="b"/>
        <c:title>
          <c:tx>
            <c:rich>
              <a:bodyPr rot="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mn-lt"/>
                    <a:ea typeface="+mn-ea"/>
                    <a:cs typeface="+mn-cs"/>
                  </a:defRPr>
                </a:pPr>
                <a:r>
                  <a:rPr lang="en-US" altLang="ru-RU"/>
                  <a:t>%</a:t>
                </a:r>
              </a:p>
            </c:rich>
          </c:tx>
          <c:layout>
            <c:manualLayout>
              <c:xMode val="edge"/>
              <c:yMode val="edge"/>
              <c:x val="3.5917518252433299E-2"/>
              <c:y val="3.32912587412591E-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crossAx val="407161968"/>
        <c:crosses val="autoZero"/>
        <c:auto val="1"/>
        <c:lblAlgn val="ctr"/>
        <c:lblOffset val="100"/>
        <c:noMultiLvlLbl val="0"/>
      </c:catAx>
      <c:valAx>
        <c:axId val="40716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crossAx val="407676744"/>
        <c:crosses val="autoZero"/>
        <c:crossBetween val="between"/>
      </c:valAx>
      <c:spPr>
        <a:noFill/>
        <a:ln>
          <a:noFill/>
        </a:ln>
        <a:effectLst/>
      </c:spPr>
    </c:plotArea>
    <c:legend>
      <c:legendPos val="b"/>
      <c:layout>
        <c:manualLayout>
          <c:xMode val="edge"/>
          <c:yMode val="edge"/>
          <c:x val="0.16590419508598214"/>
          <c:y val="0.918061583765444"/>
          <c:w val="0.72166296247875505"/>
          <c:h val="6.8181818181818205E-2"/>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2566324447303E-2"/>
          <c:y val="0.11154266430981842"/>
          <c:w val="0.91238845144356995"/>
          <c:h val="0.65362051282051303"/>
        </c:manualLayout>
      </c:layout>
      <c:barChart>
        <c:barDir val="col"/>
        <c:grouping val="clustered"/>
        <c:varyColors val="0"/>
        <c:ser>
          <c:idx val="0"/>
          <c:order val="0"/>
          <c:tx>
            <c:strRef>
              <c:f>'[НСТ_фагоцитоз.xlsx]Лист1 (8)'!$B$4</c:f>
              <c:strCache>
                <c:ptCount val="1"/>
                <c:pt idx="0">
                  <c:v>Группа 1 (Контроль)</c:v>
                </c:pt>
              </c:strCache>
            </c:strRef>
          </c:tx>
          <c:spPr>
            <a:solidFill>
              <a:schemeClr val="accent1"/>
            </a:solidFill>
            <a:ln>
              <a:noFill/>
            </a:ln>
            <a:effectLst/>
          </c:spPr>
          <c:invertIfNegative val="0"/>
          <c:dLbls>
            <c:dLbl>
              <c:idx val="0"/>
              <c:layout>
                <c:manualLayout>
                  <c:x val="1.9610406589096602E-3"/>
                  <c:y val="-6.534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090909090909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'[НСТ_фагоцитоз.xlsx]Лист1 (8)'!$C$3:$D$3</c:f>
              <c:strCache>
                <c:ptCount val="2"/>
                <c:pt idx="0">
                  <c:v>IgE общий, МЕ/мл</c:v>
                </c:pt>
                <c:pt idx="1">
                  <c:v>ЦИК, ЕД/мл</c:v>
                </c:pt>
              </c:strCache>
            </c:strRef>
          </c:cat>
          <c:val>
            <c:numRef>
              <c:f>'[НСТ_фагоцитоз.xlsx]Лист1 (8)'!$C$4:$D$4</c:f>
              <c:numCache>
                <c:formatCode>General</c:formatCode>
                <c:ptCount val="2"/>
                <c:pt idx="0">
                  <c:v>22.3</c:v>
                </c:pt>
                <c:pt idx="1">
                  <c:v>29.6</c:v>
                </c:pt>
              </c:numCache>
            </c:numRef>
          </c:val>
        </c:ser>
        <c:ser>
          <c:idx val="1"/>
          <c:order val="1"/>
          <c:tx>
            <c:strRef>
              <c:f>'[НСТ_фагоцитоз.xlsx]Лист1 (8)'!$B$5</c:f>
              <c:strCache>
                <c:ptCount val="1"/>
                <c:pt idx="0">
                  <c:v>Группа 2 (ЦЗ)</c:v>
                </c:pt>
              </c:strCache>
            </c:strRef>
          </c:tx>
          <c:spPr>
            <a:solidFill>
              <a:schemeClr val="accent2"/>
            </a:solidFill>
            <a:ln>
              <a:noFill/>
            </a:ln>
            <a:effectLst/>
          </c:spPr>
          <c:invertIfNegative val="0"/>
          <c:dLbls>
            <c:dLbl>
              <c:idx val="0"/>
              <c:layout>
                <c:manualLayout>
                  <c:x val="5.8831219767289797E-3"/>
                  <c:y val="-5.11363636363635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40909090909091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'[НСТ_фагоцитоз.xlsx]Лист1 (8)'!$C$3:$D$3</c:f>
              <c:strCache>
                <c:ptCount val="2"/>
                <c:pt idx="0">
                  <c:v>IgE общий, МЕ/мл</c:v>
                </c:pt>
                <c:pt idx="1">
                  <c:v>ЦИК, ЕД/мл</c:v>
                </c:pt>
              </c:strCache>
            </c:strRef>
          </c:cat>
          <c:val>
            <c:numRef>
              <c:f>'[НСТ_фагоцитоз.xlsx]Лист1 (8)'!$C$5:$D$5</c:f>
              <c:numCache>
                <c:formatCode>General</c:formatCode>
                <c:ptCount val="2"/>
                <c:pt idx="0">
                  <c:v>72.599999999999994</c:v>
                </c:pt>
                <c:pt idx="1">
                  <c:v>126.3</c:v>
                </c:pt>
              </c:numCache>
            </c:numRef>
          </c:val>
        </c:ser>
        <c:ser>
          <c:idx val="2"/>
          <c:order val="2"/>
          <c:tx>
            <c:strRef>
              <c:f>'[НСТ_фагоцитоз.xlsx]Лист1 (8)'!$B$6</c:f>
              <c:strCache>
                <c:ptCount val="1"/>
                <c:pt idx="0">
                  <c:v>Группа 3 (Тр)</c:v>
                </c:pt>
              </c:strCache>
            </c:strRef>
          </c:tx>
          <c:spPr>
            <a:solidFill>
              <a:schemeClr val="accent3"/>
            </a:solidFill>
            <a:ln>
              <a:noFill/>
            </a:ln>
            <a:effectLst/>
          </c:spPr>
          <c:invertIfNegative val="0"/>
          <c:dLbls>
            <c:dLbl>
              <c:idx val="0"/>
              <c:layout>
                <c:manualLayout>
                  <c:x val="0"/>
                  <c:y val="-5.96590909090908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831219767289797E-3"/>
                  <c:y val="-4.545454545454549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7"/>
            <c:spPr>
              <a:noFill/>
              <a:ln w="9525" cap="flat" cmpd="sng" algn="ctr">
                <a:solidFill>
                  <a:schemeClr val="tx1">
                    <a:lumMod val="65000"/>
                    <a:lumOff val="35000"/>
                  </a:schemeClr>
                </a:solidFill>
                <a:round/>
              </a:ln>
              <a:effectLst/>
            </c:spPr>
          </c:errBars>
          <c:cat>
            <c:strRef>
              <c:f>'[НСТ_фагоцитоз.xlsx]Лист1 (8)'!$C$3:$D$3</c:f>
              <c:strCache>
                <c:ptCount val="2"/>
                <c:pt idx="0">
                  <c:v>IgE общий, МЕ/мл</c:v>
                </c:pt>
                <c:pt idx="1">
                  <c:v>ЦИК, ЕД/мл</c:v>
                </c:pt>
              </c:strCache>
            </c:strRef>
          </c:cat>
          <c:val>
            <c:numRef>
              <c:f>'[НСТ_фагоцитоз.xlsx]Лист1 (8)'!$C$6:$D$6</c:f>
              <c:numCache>
                <c:formatCode>General</c:formatCode>
                <c:ptCount val="2"/>
                <c:pt idx="0">
                  <c:v>103.5</c:v>
                </c:pt>
                <c:pt idx="1">
                  <c:v>174.9</c:v>
                </c:pt>
              </c:numCache>
            </c:numRef>
          </c:val>
        </c:ser>
        <c:dLbls>
          <c:showLegendKey val="0"/>
          <c:showVal val="1"/>
          <c:showCatName val="0"/>
          <c:showSerName val="0"/>
          <c:showPercent val="0"/>
          <c:showBubbleSize val="0"/>
        </c:dLbls>
        <c:gapWidth val="219"/>
        <c:overlap val="-27"/>
        <c:axId val="400294648"/>
        <c:axId val="400288768"/>
      </c:barChart>
      <c:catAx>
        <c:axId val="400294648"/>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chemeClr val="tx1">
                        <a:lumMod val="65000"/>
                        <a:lumOff val="35000"/>
                      </a:schemeClr>
                    </a:solidFill>
                    <a:latin typeface="+mn-lt"/>
                    <a:ea typeface="+mn-ea"/>
                    <a:cs typeface="+mn-cs"/>
                  </a:defRPr>
                </a:pPr>
                <a:r>
                  <a:rPr lang="ru-RU" sz="1200"/>
                  <a:t>%</a:t>
                </a:r>
              </a:p>
            </c:rich>
          </c:tx>
          <c:layout>
            <c:manualLayout>
              <c:xMode val="edge"/>
              <c:yMode val="edge"/>
              <c:x val="3.3253087246133385E-2"/>
              <c:y val="4.563715249879482E-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50" b="0" i="0" u="none" strike="noStrike" kern="1200" baseline="0">
                <a:solidFill>
                  <a:sysClr val="windowText" lastClr="000000"/>
                </a:solidFill>
                <a:latin typeface="+mn-lt"/>
                <a:ea typeface="+mn-ea"/>
                <a:cs typeface="+mn-cs"/>
              </a:defRPr>
            </a:pPr>
            <a:endParaRPr lang="ru-RU"/>
          </a:p>
        </c:txPr>
        <c:crossAx val="400288768"/>
        <c:crosses val="autoZero"/>
        <c:auto val="1"/>
        <c:lblAlgn val="ctr"/>
        <c:lblOffset val="100"/>
        <c:noMultiLvlLbl val="0"/>
      </c:catAx>
      <c:valAx>
        <c:axId val="40028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00294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egendEntry>
        <c:idx val="1"/>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egendEntry>
        <c:idx val="2"/>
        <c:txPr>
          <a:bodyPr rot="0" spcFirstLastPara="0"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Entry>
      <c:layout>
        <c:manualLayout>
          <c:xMode val="edge"/>
          <c:yMode val="edge"/>
          <c:x val="0.17467404948443652"/>
          <c:y val="0.89559215812309179"/>
          <c:w val="0.72166296247875505"/>
          <c:h val="6.8181818181818205E-2"/>
        </c:manualLayout>
      </c:layout>
      <c:overlay val="0"/>
      <c:spPr>
        <a:noFill/>
        <a:ln>
          <a:noFill/>
        </a:ln>
        <a:effectLst/>
      </c:spPr>
      <c:txPr>
        <a:bodyPr rot="0" spcFirstLastPara="1" vertOverflow="ellipsis" vert="horz" wrap="square" anchor="ctr" anchorCtr="1"/>
        <a:lstStyle/>
        <a:p>
          <a:pPr>
            <a:defRPr lang="ru-RU"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657976498520718E-2"/>
          <c:y val="9.1152259813677153E-2"/>
          <c:w val="0.91677915926583797"/>
          <c:h val="0.65963823372938502"/>
        </c:manualLayout>
      </c:layout>
      <c:barChart>
        <c:barDir val="col"/>
        <c:grouping val="clustered"/>
        <c:varyColors val="0"/>
        <c:ser>
          <c:idx val="0"/>
          <c:order val="0"/>
          <c:tx>
            <c:strRef>
              <c:f>'[Цитокины.xlsx]Лист1 (2)'!$C$3</c:f>
              <c:strCache>
                <c:ptCount val="1"/>
                <c:pt idx="0">
                  <c:v>Интерферон-гамма</c:v>
                </c:pt>
              </c:strCache>
            </c:strRef>
          </c:tx>
          <c:spPr>
            <a:solidFill>
              <a:schemeClr val="accent1"/>
            </a:solidFill>
            <a:ln>
              <a:noFill/>
            </a:ln>
            <a:effectLst/>
          </c:spPr>
          <c:invertIfNegative val="0"/>
          <c:dLbls>
            <c:dLbl>
              <c:idx val="0"/>
              <c:layout>
                <c:manualLayout>
                  <c:x val="0"/>
                  <c:y val="-6.93775293890922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8146078242436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5523978685612799E-3"/>
                  <c:y val="-4.62516862593949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'[Цитокины.xlsx]Лист1 (2)'!$B$4:$B$6</c:f>
              <c:strCache>
                <c:ptCount val="3"/>
                <c:pt idx="0">
                  <c:v>Группа 1 (Контроль)</c:v>
                </c:pt>
                <c:pt idx="1">
                  <c:v>Группа 2 (ЦЗ)</c:v>
                </c:pt>
                <c:pt idx="2">
                  <c:v>Группа 3 (Тр)</c:v>
                </c:pt>
              </c:strCache>
            </c:strRef>
          </c:cat>
          <c:val>
            <c:numRef>
              <c:f>'[Цитокины.xlsx]Лист1 (2)'!$C$4:$C$6</c:f>
              <c:numCache>
                <c:formatCode>General</c:formatCode>
                <c:ptCount val="3"/>
                <c:pt idx="0">
                  <c:v>0.34</c:v>
                </c:pt>
                <c:pt idx="1">
                  <c:v>2.5</c:v>
                </c:pt>
                <c:pt idx="2">
                  <c:v>13.2</c:v>
                </c:pt>
              </c:numCache>
            </c:numRef>
          </c:val>
        </c:ser>
        <c:dLbls>
          <c:showLegendKey val="0"/>
          <c:showVal val="1"/>
          <c:showCatName val="0"/>
          <c:showSerName val="0"/>
          <c:showPercent val="0"/>
          <c:showBubbleSize val="0"/>
        </c:dLbls>
        <c:gapWidth val="219"/>
        <c:overlap val="-27"/>
        <c:axId val="306949640"/>
        <c:axId val="457690080"/>
      </c:barChart>
      <c:catAx>
        <c:axId val="306949640"/>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ysClr val="windowText" lastClr="000000"/>
                    </a:solidFill>
                    <a:latin typeface="+mn-lt"/>
                    <a:ea typeface="+mn-ea"/>
                    <a:cs typeface="+mn-cs"/>
                  </a:defRPr>
                </a:pPr>
                <a:r>
                  <a:rPr lang="ru-RU" sz="1200" b="0">
                    <a:solidFill>
                      <a:sysClr val="windowText" lastClr="000000"/>
                    </a:solidFill>
                  </a:rPr>
                  <a:t>пг</a:t>
                </a:r>
                <a:r>
                  <a:rPr lang="ru-RU" altLang="ru-RU" sz="1200" b="0">
                    <a:solidFill>
                      <a:sysClr val="windowText" lastClr="000000"/>
                    </a:solidFill>
                  </a:rPr>
                  <a:t>/</a:t>
                </a:r>
                <a:r>
                  <a:rPr lang="ru-RU" altLang="en-US" sz="1200" b="0">
                    <a:solidFill>
                      <a:sysClr val="windowText" lastClr="000000"/>
                    </a:solidFill>
                  </a:rPr>
                  <a:t>мл</a:t>
                </a:r>
              </a:p>
            </c:rich>
          </c:tx>
          <c:layout>
            <c:manualLayout>
              <c:xMode val="edge"/>
              <c:yMode val="edge"/>
              <c:x val="3.5350568605579794E-2"/>
              <c:y val="0"/>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50" b="0" i="0" u="none" strike="noStrike" kern="1200" baseline="0">
                <a:solidFill>
                  <a:sysClr val="windowText" lastClr="000000"/>
                </a:solidFill>
                <a:latin typeface="+mn-lt"/>
                <a:ea typeface="+mn-ea"/>
                <a:cs typeface="+mn-cs"/>
              </a:defRPr>
            </a:pPr>
            <a:endParaRPr lang="ru-RU"/>
          </a:p>
        </c:txPr>
        <c:crossAx val="457690080"/>
        <c:crosses val="autoZero"/>
        <c:auto val="1"/>
        <c:lblAlgn val="ctr"/>
        <c:lblOffset val="100"/>
        <c:noMultiLvlLbl val="0"/>
      </c:catAx>
      <c:valAx>
        <c:axId val="45769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306949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05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24854054036164216"/>
          <c:y val="0.89972556522252334"/>
          <c:w val="0.67365049956990675"/>
          <c:h val="0.10027442430340147"/>
        </c:manualLayout>
      </c:layout>
      <c:overlay val="0"/>
      <c:spPr>
        <a:noFill/>
        <a:ln>
          <a:noFill/>
        </a:ln>
        <a:effectLst/>
      </c:spPr>
      <c:txPr>
        <a:bodyPr rot="0" spcFirstLastPara="1"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b="1"/>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590882178804003E-2"/>
          <c:y val="0.180092503372519"/>
          <c:w val="0.91677915926583797"/>
          <c:h val="0.62915783387935997"/>
        </c:manualLayout>
      </c:layout>
      <c:barChart>
        <c:barDir val="col"/>
        <c:grouping val="clustered"/>
        <c:varyColors val="0"/>
        <c:ser>
          <c:idx val="0"/>
          <c:order val="0"/>
          <c:tx>
            <c:strRef>
              <c:f>'[Цитокины.xlsx]Лист1 (3)'!$C$3</c:f>
              <c:strCache>
                <c:ptCount val="1"/>
                <c:pt idx="0">
                  <c:v>ИЛ-4</c:v>
                </c:pt>
              </c:strCache>
            </c:strRef>
          </c:tx>
          <c:spPr>
            <a:solidFill>
              <a:schemeClr val="accent1"/>
            </a:solidFill>
            <a:ln>
              <a:noFill/>
            </a:ln>
            <a:effectLst/>
          </c:spPr>
          <c:invertIfNegative val="0"/>
          <c:dLbls>
            <c:dLbl>
              <c:idx val="0"/>
              <c:layout>
                <c:manualLayout>
                  <c:x val="0"/>
                  <c:y val="-6.93775293890922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8146078242436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5523978685612799E-3"/>
                  <c:y val="-4.62516862593949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'[Цитокины.xlsx]Лист1 (3)'!$B$4:$B$6</c:f>
              <c:strCache>
                <c:ptCount val="3"/>
                <c:pt idx="0">
                  <c:v>Группа 1 (Контроль)</c:v>
                </c:pt>
                <c:pt idx="1">
                  <c:v>Группа 2 (ЦЗ)</c:v>
                </c:pt>
                <c:pt idx="2">
                  <c:v>Группа 3 (Тр)</c:v>
                </c:pt>
              </c:strCache>
            </c:strRef>
          </c:cat>
          <c:val>
            <c:numRef>
              <c:f>'[Цитокины.xlsx]Лист1 (3)'!$C$4:$C$6</c:f>
              <c:numCache>
                <c:formatCode>General</c:formatCode>
                <c:ptCount val="3"/>
                <c:pt idx="0">
                  <c:v>16.3</c:v>
                </c:pt>
                <c:pt idx="1">
                  <c:v>66.7</c:v>
                </c:pt>
                <c:pt idx="2">
                  <c:v>52.4</c:v>
                </c:pt>
              </c:numCache>
            </c:numRef>
          </c:val>
        </c:ser>
        <c:dLbls>
          <c:showLegendKey val="0"/>
          <c:showVal val="1"/>
          <c:showCatName val="0"/>
          <c:showSerName val="0"/>
          <c:showPercent val="0"/>
          <c:showBubbleSize val="0"/>
        </c:dLbls>
        <c:gapWidth val="219"/>
        <c:overlap val="-27"/>
        <c:axId val="457692824"/>
        <c:axId val="457693608"/>
      </c:barChart>
      <c:catAx>
        <c:axId val="457692824"/>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ysClr val="windowText" lastClr="000000"/>
                    </a:solidFill>
                    <a:latin typeface="+mn-lt"/>
                    <a:ea typeface="+mn-ea"/>
                    <a:cs typeface="+mn-cs"/>
                  </a:defRPr>
                </a:pPr>
                <a:r>
                  <a:rPr lang="ru-RU" sz="1200" b="0">
                    <a:solidFill>
                      <a:sysClr val="windowText" lastClr="000000"/>
                    </a:solidFill>
                  </a:rPr>
                  <a:t>пг</a:t>
                </a:r>
                <a:r>
                  <a:rPr lang="ru-RU" altLang="ru-RU" sz="1200" b="0">
                    <a:solidFill>
                      <a:sysClr val="windowText" lastClr="000000"/>
                    </a:solidFill>
                  </a:rPr>
                  <a:t>/</a:t>
                </a:r>
                <a:r>
                  <a:rPr lang="ru-RU" altLang="en-US" sz="1200" b="0">
                    <a:solidFill>
                      <a:sysClr val="windowText" lastClr="000000"/>
                    </a:solidFill>
                  </a:rPr>
                  <a:t>мл</a:t>
                </a:r>
              </a:p>
            </c:rich>
          </c:tx>
          <c:layout>
            <c:manualLayout>
              <c:xMode val="edge"/>
              <c:yMode val="edge"/>
              <c:x val="3.7377594949979487E-3"/>
              <c:y val="6.9343734990612287E-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50" b="0" i="0" u="none" strike="noStrike" kern="1200" baseline="0">
                <a:solidFill>
                  <a:sysClr val="windowText" lastClr="000000"/>
                </a:solidFill>
                <a:latin typeface="+mn-lt"/>
                <a:ea typeface="+mn-ea"/>
                <a:cs typeface="+mn-cs"/>
              </a:defRPr>
            </a:pPr>
            <a:endParaRPr lang="ru-RU"/>
          </a:p>
        </c:txPr>
        <c:crossAx val="457693608"/>
        <c:crosses val="autoZero"/>
        <c:auto val="1"/>
        <c:lblAlgn val="ctr"/>
        <c:lblOffset val="100"/>
        <c:noMultiLvlLbl val="0"/>
      </c:catAx>
      <c:valAx>
        <c:axId val="45769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576928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40178216192668781"/>
          <c:y val="0.89208446448094147"/>
          <c:w val="0.19643583013661753"/>
          <c:h val="0.10791553551905855"/>
        </c:manualLayout>
      </c:layout>
      <c:overlay val="0"/>
      <c:spPr>
        <a:noFill/>
        <a:ln>
          <a:noFill/>
        </a:ln>
        <a:effectLst/>
      </c:spPr>
      <c:txPr>
        <a:bodyPr rot="0" spcFirstLastPara="1"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b="1"/>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590882178804003E-2"/>
          <c:y val="0.180092503372519"/>
          <c:w val="0.91677915926583797"/>
          <c:h val="0.62915783387935997"/>
        </c:manualLayout>
      </c:layout>
      <c:barChart>
        <c:barDir val="col"/>
        <c:grouping val="clustered"/>
        <c:varyColors val="0"/>
        <c:ser>
          <c:idx val="0"/>
          <c:order val="0"/>
          <c:tx>
            <c:strRef>
              <c:f>'[Цитокины.xlsx]Лист1 (9)'!$C$3</c:f>
              <c:strCache>
                <c:ptCount val="1"/>
                <c:pt idx="0">
                  <c:v>ИЛ-17</c:v>
                </c:pt>
              </c:strCache>
            </c:strRef>
          </c:tx>
          <c:spPr>
            <a:solidFill>
              <a:schemeClr val="accent1"/>
            </a:solidFill>
            <a:ln>
              <a:noFill/>
            </a:ln>
            <a:effectLst/>
          </c:spPr>
          <c:invertIfNegative val="0"/>
          <c:dLbls>
            <c:dLbl>
              <c:idx val="0"/>
              <c:layout>
                <c:manualLayout>
                  <c:x val="0"/>
                  <c:y val="-6.93775293890922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8146078242436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5523978685612799E-3"/>
                  <c:y val="-4.62516862593949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'[Цитокины.xlsx]Лист1 (9)'!$B$4:$B$6</c:f>
              <c:strCache>
                <c:ptCount val="3"/>
                <c:pt idx="0">
                  <c:v>Группа 1 (Контроль)</c:v>
                </c:pt>
                <c:pt idx="1">
                  <c:v>Группа 2 (ЦЗ)</c:v>
                </c:pt>
                <c:pt idx="2">
                  <c:v>Группа 3 (Тр)</c:v>
                </c:pt>
              </c:strCache>
            </c:strRef>
          </c:cat>
          <c:val>
            <c:numRef>
              <c:f>'[Цитокины.xlsx]Лист1 (9)'!$C$4:$C$6</c:f>
              <c:numCache>
                <c:formatCode>General</c:formatCode>
                <c:ptCount val="3"/>
                <c:pt idx="0">
                  <c:v>91.7</c:v>
                </c:pt>
                <c:pt idx="1">
                  <c:v>116.3</c:v>
                </c:pt>
                <c:pt idx="2">
                  <c:v>112.4</c:v>
                </c:pt>
              </c:numCache>
            </c:numRef>
          </c:val>
        </c:ser>
        <c:dLbls>
          <c:showLegendKey val="0"/>
          <c:showVal val="1"/>
          <c:showCatName val="0"/>
          <c:showSerName val="0"/>
          <c:showPercent val="0"/>
          <c:showBubbleSize val="0"/>
        </c:dLbls>
        <c:gapWidth val="219"/>
        <c:overlap val="-27"/>
        <c:axId val="457691648"/>
        <c:axId val="457686944"/>
      </c:barChart>
      <c:catAx>
        <c:axId val="457691648"/>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ysClr val="windowText" lastClr="000000"/>
                    </a:solidFill>
                    <a:latin typeface="+mn-lt"/>
                    <a:ea typeface="+mn-ea"/>
                    <a:cs typeface="+mn-cs"/>
                  </a:defRPr>
                </a:pPr>
                <a:r>
                  <a:rPr lang="ru-RU" sz="1200" b="0">
                    <a:solidFill>
                      <a:sysClr val="windowText" lastClr="000000"/>
                    </a:solidFill>
                  </a:rPr>
                  <a:t>пг</a:t>
                </a:r>
                <a:r>
                  <a:rPr lang="ru-RU" altLang="ru-RU" sz="1200" b="0">
                    <a:solidFill>
                      <a:sysClr val="windowText" lastClr="000000"/>
                    </a:solidFill>
                  </a:rPr>
                  <a:t>/</a:t>
                </a:r>
                <a:r>
                  <a:rPr lang="ru-RU" altLang="en-US" sz="1200" b="0">
                    <a:solidFill>
                      <a:sysClr val="windowText" lastClr="000000"/>
                    </a:solidFill>
                  </a:rPr>
                  <a:t>мл</a:t>
                </a:r>
              </a:p>
            </c:rich>
          </c:tx>
          <c:layout>
            <c:manualLayout>
              <c:xMode val="edge"/>
              <c:yMode val="edge"/>
              <c:x val="1.5925926399852589E-2"/>
              <c:y val="1.6487007734058117E-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50" b="0" i="0" u="none" strike="noStrike" kern="1200" baseline="0">
                <a:solidFill>
                  <a:sysClr val="windowText" lastClr="000000"/>
                </a:solidFill>
                <a:latin typeface="+mn-lt"/>
                <a:ea typeface="+mn-ea"/>
                <a:cs typeface="+mn-cs"/>
              </a:defRPr>
            </a:pPr>
            <a:endParaRPr lang="ru-RU"/>
          </a:p>
        </c:txPr>
        <c:crossAx val="457686944"/>
        <c:crosses val="autoZero"/>
        <c:auto val="1"/>
        <c:lblAlgn val="ctr"/>
        <c:lblOffset val="100"/>
        <c:noMultiLvlLbl val="0"/>
      </c:catAx>
      <c:valAx>
        <c:axId val="45768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57691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44136503662679"/>
          <c:y val="0.89762883798785731"/>
          <c:w val="0.19840932676300363"/>
          <c:h val="0.10169453629983387"/>
        </c:manualLayout>
      </c:layout>
      <c:overlay val="0"/>
      <c:spPr>
        <a:noFill/>
        <a:ln>
          <a:noFill/>
        </a:ln>
        <a:effectLst/>
      </c:spPr>
      <c:txPr>
        <a:bodyPr rot="0" spcFirstLastPara="1"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b="1"/>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590882178804003E-2"/>
          <c:y val="0.180092503372519"/>
          <c:w val="0.91677915926583797"/>
          <c:h val="0.62915783387935997"/>
        </c:manualLayout>
      </c:layout>
      <c:barChart>
        <c:barDir val="col"/>
        <c:grouping val="clustered"/>
        <c:varyColors val="0"/>
        <c:ser>
          <c:idx val="0"/>
          <c:order val="0"/>
          <c:tx>
            <c:strRef>
              <c:f>'[Цитокины.xlsx]Лист1 (5)'!$C$3</c:f>
              <c:strCache>
                <c:ptCount val="1"/>
                <c:pt idx="0">
                  <c:v>ФНО-альфа</c:v>
                </c:pt>
              </c:strCache>
            </c:strRef>
          </c:tx>
          <c:spPr>
            <a:solidFill>
              <a:schemeClr val="accent1"/>
            </a:solidFill>
            <a:ln>
              <a:noFill/>
            </a:ln>
            <a:effectLst/>
          </c:spPr>
          <c:invertIfNegative val="0"/>
          <c:dLbls>
            <c:dLbl>
              <c:idx val="0"/>
              <c:layout>
                <c:manualLayout>
                  <c:x val="0"/>
                  <c:y val="-6.93775293890922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81460782424360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5523978685612799E-3"/>
                  <c:y val="-4.62516862593949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8"/>
            <c:spPr>
              <a:noFill/>
              <a:ln w="9525" cap="flat" cmpd="sng" algn="ctr">
                <a:solidFill>
                  <a:schemeClr val="tx1">
                    <a:lumMod val="65000"/>
                    <a:lumOff val="35000"/>
                  </a:schemeClr>
                </a:solidFill>
                <a:round/>
              </a:ln>
              <a:effectLst/>
            </c:spPr>
          </c:errBars>
          <c:cat>
            <c:strRef>
              <c:f>'[Цитокины.xlsx]Лист1 (5)'!$B$4:$B$6</c:f>
              <c:strCache>
                <c:ptCount val="3"/>
                <c:pt idx="0">
                  <c:v>Группа 1 (Контроль)</c:v>
                </c:pt>
                <c:pt idx="1">
                  <c:v>Группа 2 (ЦЗ)</c:v>
                </c:pt>
                <c:pt idx="2">
                  <c:v>Группа 3 (Тр)</c:v>
                </c:pt>
              </c:strCache>
            </c:strRef>
          </c:cat>
          <c:val>
            <c:numRef>
              <c:f>'[Цитокины.xlsx]Лист1 (5)'!$C$4:$C$6</c:f>
              <c:numCache>
                <c:formatCode>General</c:formatCode>
                <c:ptCount val="3"/>
                <c:pt idx="0">
                  <c:v>11.2</c:v>
                </c:pt>
                <c:pt idx="1">
                  <c:v>31.4</c:v>
                </c:pt>
                <c:pt idx="2">
                  <c:v>52.4</c:v>
                </c:pt>
              </c:numCache>
            </c:numRef>
          </c:val>
        </c:ser>
        <c:dLbls>
          <c:showLegendKey val="0"/>
          <c:showVal val="1"/>
          <c:showCatName val="0"/>
          <c:showSerName val="0"/>
          <c:showPercent val="0"/>
          <c:showBubbleSize val="0"/>
        </c:dLbls>
        <c:gapWidth val="219"/>
        <c:overlap val="-27"/>
        <c:axId val="457688120"/>
        <c:axId val="457692040"/>
      </c:barChart>
      <c:catAx>
        <c:axId val="457688120"/>
        <c:scaling>
          <c:orientation val="minMax"/>
        </c:scaling>
        <c:delete val="0"/>
        <c:axPos val="b"/>
        <c:title>
          <c:tx>
            <c:rich>
              <a:bodyPr rot="0" spcFirstLastPara="0" vertOverflow="ellipsis" vert="horz" wrap="square" anchor="ctr" anchorCtr="1"/>
              <a:lstStyle/>
              <a:p>
                <a:pPr defTabSz="914400">
                  <a:defRPr lang="ru-RU" sz="1200" b="0" i="0" u="none" strike="noStrike" kern="1200" baseline="0">
                    <a:solidFill>
                      <a:sysClr val="windowText" lastClr="000000"/>
                    </a:solidFill>
                    <a:latin typeface="+mn-lt"/>
                    <a:ea typeface="+mn-ea"/>
                    <a:cs typeface="+mn-cs"/>
                  </a:defRPr>
                </a:pPr>
                <a:r>
                  <a:rPr lang="ru-RU" sz="1200" b="0">
                    <a:solidFill>
                      <a:sysClr val="windowText" lastClr="000000"/>
                    </a:solidFill>
                  </a:rPr>
                  <a:t>пг</a:t>
                </a:r>
                <a:r>
                  <a:rPr lang="ru-RU" altLang="ru-RU" sz="1200" b="0">
                    <a:solidFill>
                      <a:sysClr val="windowText" lastClr="000000"/>
                    </a:solidFill>
                  </a:rPr>
                  <a:t>/</a:t>
                </a:r>
                <a:r>
                  <a:rPr lang="ru-RU" altLang="en-US" sz="1200" b="0">
                    <a:solidFill>
                      <a:sysClr val="windowText" lastClr="000000"/>
                    </a:solidFill>
                  </a:rPr>
                  <a:t>мл</a:t>
                </a:r>
              </a:p>
            </c:rich>
          </c:tx>
          <c:layout>
            <c:manualLayout>
              <c:xMode val="edge"/>
              <c:yMode val="edge"/>
              <c:x val="3.7378159517814373E-3"/>
              <c:y val="1.6487007734058117E-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50" b="0" i="0" u="none" strike="noStrike" kern="1200" baseline="0">
                <a:solidFill>
                  <a:sysClr val="windowText" lastClr="000000"/>
                </a:solidFill>
                <a:latin typeface="+mn-lt"/>
                <a:ea typeface="+mn-ea"/>
                <a:cs typeface="+mn-cs"/>
              </a:defRPr>
            </a:pPr>
            <a:endParaRPr lang="ru-RU"/>
          </a:p>
        </c:txPr>
        <c:crossAx val="457692040"/>
        <c:crosses val="autoZero"/>
        <c:auto val="1"/>
        <c:lblAlgn val="ctr"/>
        <c:lblOffset val="100"/>
        <c:noMultiLvlLbl val="0"/>
      </c:catAx>
      <c:valAx>
        <c:axId val="45769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mn-lt"/>
                <a:ea typeface="+mn-ea"/>
                <a:cs typeface="+mn-cs"/>
              </a:defRPr>
            </a:pPr>
            <a:endParaRPr lang="ru-RU"/>
          </a:p>
        </c:txPr>
        <c:crossAx val="4576881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05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8245643381584216"/>
          <c:y val="0.88280956526363819"/>
          <c:w val="0.36000210561409357"/>
          <c:h val="0.11584232025274117"/>
        </c:manualLayout>
      </c:layout>
      <c:overlay val="0"/>
      <c:spPr>
        <a:noFill/>
        <a:ln>
          <a:noFill/>
        </a:ln>
        <a:effectLst/>
      </c:spPr>
      <c:txPr>
        <a:bodyPr rot="0" spcFirstLastPara="1" vertOverflow="ellipsis" vert="horz" wrap="square" anchor="ctr" anchorCtr="1"/>
        <a:lstStyle/>
        <a:p>
          <a:pPr>
            <a:defRPr lang="ru-RU" sz="105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5B9BD5"/>
      </a:solidFill>
      <a:round/>
    </a:ln>
    <a:effectLst/>
  </c:spPr>
  <c:txPr>
    <a:bodyPr/>
    <a:lstStyle/>
    <a:p>
      <a:pPr>
        <a:defRPr lang="ru-RU" sz="1200" b="1"/>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824</TotalTime>
  <Pages>1</Pages>
  <Words>8507</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21</cp:revision>
  <dcterms:created xsi:type="dcterms:W3CDTF">2024-05-21T11:22:00Z</dcterms:created>
  <dcterms:modified xsi:type="dcterms:W3CDTF">2024-07-02T11:42:00Z</dcterms:modified>
</cp:coreProperties>
</file>