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DDE" w:rsidRPr="00E43993" w:rsidRDefault="00E43993" w:rsidP="00E43993">
      <w:pPr>
        <w:spacing w:after="0" w:line="360" w:lineRule="auto"/>
        <w:jc w:val="center"/>
        <w:rPr>
          <w:rFonts w:ascii="Times New Roman" w:hAnsi="Times New Roman" w:cs="Times New Roman"/>
          <w:b/>
          <w:sz w:val="28"/>
          <w:szCs w:val="28"/>
        </w:rPr>
      </w:pPr>
      <w:r w:rsidRPr="00E43993">
        <w:rPr>
          <w:rFonts w:ascii="Times New Roman" w:hAnsi="Times New Roman" w:cs="Times New Roman"/>
          <w:b/>
          <w:sz w:val="28"/>
          <w:szCs w:val="28"/>
        </w:rPr>
        <w:t>МЕЖДУНАРОДНАЯ ВЫСШАЯ ШКОЛА МЕДИЦИНЫ</w:t>
      </w:r>
    </w:p>
    <w:p w:rsidR="00E43993" w:rsidRDefault="00E43993" w:rsidP="00E43993">
      <w:pPr>
        <w:spacing w:after="0" w:line="360" w:lineRule="auto"/>
        <w:jc w:val="center"/>
        <w:rPr>
          <w:rFonts w:ascii="Times New Roman" w:hAnsi="Times New Roman" w:cs="Times New Roman"/>
          <w:sz w:val="28"/>
          <w:szCs w:val="28"/>
        </w:rPr>
      </w:pPr>
    </w:p>
    <w:p w:rsidR="00E43993" w:rsidRDefault="00E43993" w:rsidP="00E43993">
      <w:pPr>
        <w:spacing w:after="0" w:line="360" w:lineRule="auto"/>
        <w:jc w:val="center"/>
        <w:rPr>
          <w:rFonts w:ascii="Times New Roman" w:hAnsi="Times New Roman" w:cs="Times New Roman"/>
          <w:sz w:val="28"/>
          <w:szCs w:val="28"/>
        </w:rPr>
      </w:pPr>
    </w:p>
    <w:p w:rsidR="00E43993" w:rsidRDefault="00E43993" w:rsidP="00E4399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На правах рукописи</w:t>
      </w:r>
    </w:p>
    <w:p w:rsidR="007C4D2F" w:rsidRDefault="007C004C" w:rsidP="007C4D2F">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УДК</w:t>
      </w:r>
      <w:r w:rsidR="007C4D2F">
        <w:rPr>
          <w:rFonts w:ascii="Times New Roman" w:hAnsi="Times New Roman" w:cs="Times New Roman"/>
          <w:sz w:val="28"/>
          <w:szCs w:val="28"/>
        </w:rPr>
        <w:t xml:space="preserve"> </w:t>
      </w:r>
      <w:r w:rsidR="00454AF9">
        <w:rPr>
          <w:rFonts w:ascii="Times New Roman" w:hAnsi="Times New Roman" w:cs="Times New Roman"/>
          <w:sz w:val="28"/>
          <w:szCs w:val="28"/>
        </w:rPr>
        <w:t>[616-092.4</w:t>
      </w:r>
      <w:r w:rsidR="007C4D2F" w:rsidRPr="00582101">
        <w:rPr>
          <w:rFonts w:ascii="Times New Roman" w:hAnsi="Times New Roman" w:cs="Times New Roman"/>
          <w:sz w:val="28"/>
          <w:szCs w:val="28"/>
        </w:rPr>
        <w:t>: 578.834.1] (23.01/.03) (043.3)</w:t>
      </w:r>
    </w:p>
    <w:p w:rsidR="00E43993" w:rsidRDefault="00E43993" w:rsidP="00E43993">
      <w:pPr>
        <w:spacing w:after="0" w:line="360" w:lineRule="auto"/>
        <w:jc w:val="right"/>
        <w:rPr>
          <w:rFonts w:ascii="Times New Roman" w:hAnsi="Times New Roman" w:cs="Times New Roman"/>
          <w:sz w:val="28"/>
          <w:szCs w:val="28"/>
        </w:rPr>
      </w:pPr>
    </w:p>
    <w:p w:rsidR="00E43993" w:rsidRDefault="00E43993" w:rsidP="00E43993">
      <w:pPr>
        <w:spacing w:after="0" w:line="360" w:lineRule="auto"/>
        <w:jc w:val="right"/>
        <w:rPr>
          <w:rFonts w:ascii="Times New Roman" w:hAnsi="Times New Roman" w:cs="Times New Roman"/>
          <w:sz w:val="28"/>
          <w:szCs w:val="28"/>
        </w:rPr>
      </w:pPr>
    </w:p>
    <w:p w:rsidR="00E43993" w:rsidRDefault="00E43993" w:rsidP="00E43993">
      <w:pPr>
        <w:spacing w:after="0" w:line="360" w:lineRule="auto"/>
        <w:jc w:val="right"/>
        <w:rPr>
          <w:rFonts w:ascii="Times New Roman" w:hAnsi="Times New Roman" w:cs="Times New Roman"/>
          <w:sz w:val="28"/>
          <w:szCs w:val="28"/>
        </w:rPr>
      </w:pPr>
    </w:p>
    <w:p w:rsidR="00E43993" w:rsidRDefault="00E43993" w:rsidP="00E43993">
      <w:pPr>
        <w:spacing w:after="0" w:line="360" w:lineRule="auto"/>
        <w:jc w:val="right"/>
        <w:rPr>
          <w:rFonts w:ascii="Times New Roman" w:hAnsi="Times New Roman" w:cs="Times New Roman"/>
          <w:sz w:val="28"/>
          <w:szCs w:val="28"/>
        </w:rPr>
      </w:pPr>
    </w:p>
    <w:p w:rsidR="00E43993" w:rsidRPr="00E43993" w:rsidRDefault="00E43993" w:rsidP="00E43993">
      <w:pPr>
        <w:spacing w:after="0" w:line="360" w:lineRule="auto"/>
        <w:jc w:val="center"/>
        <w:rPr>
          <w:rFonts w:ascii="Times New Roman" w:hAnsi="Times New Roman" w:cs="Times New Roman"/>
          <w:b/>
          <w:sz w:val="28"/>
          <w:szCs w:val="28"/>
        </w:rPr>
      </w:pPr>
      <w:r w:rsidRPr="00E43993">
        <w:rPr>
          <w:rFonts w:ascii="Times New Roman" w:hAnsi="Times New Roman" w:cs="Times New Roman"/>
          <w:b/>
          <w:sz w:val="28"/>
          <w:szCs w:val="28"/>
        </w:rPr>
        <w:t>АЛЫМКУЛОВ АРГЕН ТУРГУНОВИЧ</w:t>
      </w:r>
    </w:p>
    <w:p w:rsidR="00E43993" w:rsidRPr="00E43993" w:rsidRDefault="00E43993" w:rsidP="00E43993">
      <w:pPr>
        <w:spacing w:after="0" w:line="360" w:lineRule="auto"/>
        <w:jc w:val="center"/>
        <w:rPr>
          <w:rFonts w:ascii="Times New Roman" w:hAnsi="Times New Roman" w:cs="Times New Roman"/>
          <w:b/>
          <w:sz w:val="28"/>
          <w:szCs w:val="28"/>
        </w:rPr>
      </w:pPr>
    </w:p>
    <w:p w:rsidR="00E43993" w:rsidRDefault="00E43993" w:rsidP="00E43993">
      <w:pPr>
        <w:spacing w:after="0" w:line="360" w:lineRule="auto"/>
        <w:jc w:val="center"/>
        <w:rPr>
          <w:rFonts w:ascii="Times New Roman" w:hAnsi="Times New Roman" w:cs="Times New Roman"/>
          <w:sz w:val="28"/>
          <w:szCs w:val="28"/>
        </w:rPr>
      </w:pPr>
      <w:r w:rsidRPr="00E43993">
        <w:rPr>
          <w:rFonts w:ascii="Times New Roman" w:hAnsi="Times New Roman" w:cs="Times New Roman"/>
          <w:b/>
          <w:sz w:val="28"/>
          <w:szCs w:val="28"/>
        </w:rPr>
        <w:t xml:space="preserve">«КЛИНИКО-ЛАБОРАТОРНАЯ И ИММУНОЛОГИЧЕСКАЯ ХАРАКТЕРИСТИКА БОЛЬНЫХ С </w:t>
      </w:r>
      <w:r w:rsidRPr="00E43993">
        <w:rPr>
          <w:rFonts w:ascii="Times New Roman" w:hAnsi="Times New Roman" w:cs="Times New Roman"/>
          <w:b/>
          <w:sz w:val="28"/>
          <w:szCs w:val="28"/>
          <w:lang w:val="en-US"/>
        </w:rPr>
        <w:t>COVID</w:t>
      </w:r>
      <w:r w:rsidRPr="00E43993">
        <w:rPr>
          <w:rFonts w:ascii="Times New Roman" w:hAnsi="Times New Roman" w:cs="Times New Roman"/>
          <w:b/>
          <w:sz w:val="28"/>
          <w:szCs w:val="28"/>
        </w:rPr>
        <w:t>-19 В УСЛОВИЯХ НИЗКО-, СРЕДНЕ- И ВЫСОКОГОРЬЯ</w:t>
      </w:r>
      <w:r>
        <w:rPr>
          <w:rFonts w:ascii="Times New Roman" w:hAnsi="Times New Roman" w:cs="Times New Roman"/>
          <w:sz w:val="28"/>
          <w:szCs w:val="28"/>
        </w:rPr>
        <w:t>»</w:t>
      </w:r>
    </w:p>
    <w:p w:rsidR="00E43993" w:rsidRDefault="00E43993" w:rsidP="00E43993">
      <w:pPr>
        <w:spacing w:after="0" w:line="360" w:lineRule="auto"/>
        <w:jc w:val="center"/>
        <w:rPr>
          <w:rFonts w:ascii="Times New Roman" w:hAnsi="Times New Roman" w:cs="Times New Roman"/>
          <w:sz w:val="28"/>
          <w:szCs w:val="28"/>
        </w:rPr>
      </w:pPr>
    </w:p>
    <w:p w:rsidR="00E43993" w:rsidRDefault="00E43993" w:rsidP="00E4399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14.03.03 – патологическая физиология</w:t>
      </w:r>
    </w:p>
    <w:p w:rsidR="00E43993" w:rsidRDefault="00E43993" w:rsidP="00E43993">
      <w:pPr>
        <w:spacing w:after="0" w:line="360" w:lineRule="auto"/>
        <w:jc w:val="center"/>
        <w:rPr>
          <w:rFonts w:ascii="Times New Roman" w:hAnsi="Times New Roman" w:cs="Times New Roman"/>
          <w:sz w:val="28"/>
          <w:szCs w:val="28"/>
        </w:rPr>
      </w:pPr>
    </w:p>
    <w:p w:rsidR="00E43993" w:rsidRDefault="00E43993" w:rsidP="00E4399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Диссертация на соискание ученой степени </w:t>
      </w:r>
    </w:p>
    <w:p w:rsidR="00E43993" w:rsidRDefault="00E43993" w:rsidP="00E4399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кандидата медицинских наук</w:t>
      </w:r>
    </w:p>
    <w:p w:rsidR="00E43993" w:rsidRDefault="00E43993" w:rsidP="00E43993">
      <w:pPr>
        <w:spacing w:after="0" w:line="360" w:lineRule="auto"/>
        <w:jc w:val="center"/>
        <w:rPr>
          <w:rFonts w:ascii="Times New Roman" w:hAnsi="Times New Roman" w:cs="Times New Roman"/>
          <w:sz w:val="28"/>
          <w:szCs w:val="28"/>
        </w:rPr>
      </w:pPr>
    </w:p>
    <w:p w:rsidR="00E43993" w:rsidRDefault="00E43993" w:rsidP="00E43993">
      <w:pPr>
        <w:spacing w:after="0" w:line="360" w:lineRule="auto"/>
        <w:jc w:val="center"/>
        <w:rPr>
          <w:rFonts w:ascii="Times New Roman" w:hAnsi="Times New Roman" w:cs="Times New Roman"/>
          <w:sz w:val="28"/>
          <w:szCs w:val="28"/>
        </w:rPr>
      </w:pPr>
    </w:p>
    <w:p w:rsidR="00E43993" w:rsidRDefault="00E43993" w:rsidP="00E43993">
      <w:pPr>
        <w:spacing w:after="0" w:line="360" w:lineRule="auto"/>
        <w:jc w:val="center"/>
        <w:rPr>
          <w:rFonts w:ascii="Times New Roman" w:hAnsi="Times New Roman" w:cs="Times New Roman"/>
          <w:sz w:val="28"/>
          <w:szCs w:val="28"/>
        </w:rPr>
      </w:pPr>
    </w:p>
    <w:p w:rsidR="00E43993" w:rsidRDefault="00E43993" w:rsidP="00E43993">
      <w:pPr>
        <w:spacing w:after="0" w:line="360" w:lineRule="auto"/>
        <w:jc w:val="center"/>
        <w:rPr>
          <w:rFonts w:ascii="Times New Roman" w:hAnsi="Times New Roman" w:cs="Times New Roman"/>
          <w:sz w:val="28"/>
          <w:szCs w:val="28"/>
        </w:rPr>
      </w:pPr>
    </w:p>
    <w:p w:rsidR="00E43993" w:rsidRPr="00E43993" w:rsidRDefault="00E43993" w:rsidP="00E43993">
      <w:pPr>
        <w:spacing w:after="0" w:line="360" w:lineRule="auto"/>
        <w:jc w:val="right"/>
        <w:rPr>
          <w:rFonts w:ascii="Times New Roman" w:hAnsi="Times New Roman" w:cs="Times New Roman"/>
          <w:b/>
          <w:sz w:val="28"/>
          <w:szCs w:val="28"/>
        </w:rPr>
      </w:pPr>
      <w:r w:rsidRPr="00E43993">
        <w:rPr>
          <w:rFonts w:ascii="Times New Roman" w:hAnsi="Times New Roman" w:cs="Times New Roman"/>
          <w:b/>
          <w:sz w:val="28"/>
          <w:szCs w:val="28"/>
        </w:rPr>
        <w:t>Научный руководитель:</w:t>
      </w:r>
    </w:p>
    <w:p w:rsidR="00E43993" w:rsidRDefault="00E43993" w:rsidP="00E4399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Доктор медицинских наук, профессор </w:t>
      </w:r>
    </w:p>
    <w:p w:rsidR="00E43993" w:rsidRDefault="00E43993" w:rsidP="00E4399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О.Ж. Узаков</w:t>
      </w:r>
    </w:p>
    <w:p w:rsidR="00E43993" w:rsidRDefault="00E43993" w:rsidP="00E43993">
      <w:pPr>
        <w:spacing w:after="0" w:line="360" w:lineRule="auto"/>
        <w:jc w:val="right"/>
        <w:rPr>
          <w:rFonts w:ascii="Times New Roman" w:hAnsi="Times New Roman" w:cs="Times New Roman"/>
          <w:sz w:val="28"/>
          <w:szCs w:val="28"/>
        </w:rPr>
      </w:pPr>
    </w:p>
    <w:p w:rsidR="00E43993" w:rsidRDefault="00E43993" w:rsidP="00E43993">
      <w:pPr>
        <w:spacing w:after="0" w:line="360" w:lineRule="auto"/>
        <w:jc w:val="right"/>
        <w:rPr>
          <w:rFonts w:ascii="Times New Roman" w:hAnsi="Times New Roman" w:cs="Times New Roman"/>
          <w:sz w:val="28"/>
          <w:szCs w:val="28"/>
        </w:rPr>
      </w:pPr>
    </w:p>
    <w:p w:rsidR="00E43993" w:rsidRDefault="00E43993" w:rsidP="00E43993">
      <w:pPr>
        <w:spacing w:after="0" w:line="360" w:lineRule="auto"/>
        <w:jc w:val="right"/>
        <w:rPr>
          <w:rFonts w:ascii="Times New Roman" w:hAnsi="Times New Roman" w:cs="Times New Roman"/>
          <w:sz w:val="28"/>
          <w:szCs w:val="28"/>
        </w:rPr>
      </w:pPr>
    </w:p>
    <w:p w:rsidR="00E43993" w:rsidRDefault="000D1F9B" w:rsidP="00E4399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Бишкек – 2024 </w:t>
      </w:r>
    </w:p>
    <w:p w:rsidR="008D5461" w:rsidRPr="00454AF9" w:rsidRDefault="007C004C" w:rsidP="00352855">
      <w:pPr>
        <w:spacing w:after="0" w:line="360" w:lineRule="auto"/>
        <w:jc w:val="center"/>
        <w:rPr>
          <w:rFonts w:ascii="Times New Roman" w:eastAsia="Calibri" w:hAnsi="Times New Roman" w:cs="Times New Roman"/>
          <w:b/>
          <w:sz w:val="32"/>
        </w:rPr>
      </w:pPr>
      <w:r w:rsidRPr="00454AF9">
        <w:rPr>
          <w:rFonts w:ascii="Times New Roman" w:eastAsia="Calibri" w:hAnsi="Times New Roman" w:cs="Times New Roman"/>
          <w:b/>
          <w:sz w:val="32"/>
        </w:rPr>
        <w:lastRenderedPageBreak/>
        <w:t>СОД</w:t>
      </w:r>
      <w:r w:rsidR="008D5461" w:rsidRPr="00454AF9">
        <w:rPr>
          <w:rFonts w:ascii="Times New Roman" w:eastAsia="Calibri" w:hAnsi="Times New Roman" w:cs="Times New Roman"/>
          <w:b/>
          <w:sz w:val="32"/>
        </w:rPr>
        <w:t>ЕРЖАНИЕ</w:t>
      </w:r>
    </w:p>
    <w:p w:rsidR="00BC6917" w:rsidRDefault="00BC6917" w:rsidP="007C004C">
      <w:pPr>
        <w:spacing w:after="0" w:line="360" w:lineRule="auto"/>
        <w:rPr>
          <w:rFonts w:ascii="Times New Roman" w:eastAsia="Calibri" w:hAnsi="Times New Roman" w:cs="Times New Roman"/>
          <w:sz w:val="28"/>
        </w:rPr>
      </w:pPr>
      <w:r>
        <w:rPr>
          <w:rFonts w:ascii="Times New Roman" w:eastAsia="Calibri" w:hAnsi="Times New Roman" w:cs="Times New Roman"/>
          <w:sz w:val="28"/>
        </w:rPr>
        <w:t xml:space="preserve">                                                                                                                          стр. с-по</w:t>
      </w:r>
    </w:p>
    <w:p w:rsidR="007C004C" w:rsidRPr="007C004C" w:rsidRDefault="007C004C" w:rsidP="007C004C">
      <w:pPr>
        <w:spacing w:after="0" w:line="360" w:lineRule="auto"/>
        <w:rPr>
          <w:rFonts w:ascii="Times New Roman" w:eastAsia="Calibri" w:hAnsi="Times New Roman" w:cs="Times New Roman"/>
          <w:sz w:val="28"/>
        </w:rPr>
      </w:pPr>
      <w:r w:rsidRPr="007C004C">
        <w:rPr>
          <w:rFonts w:ascii="Times New Roman" w:eastAsia="Calibri" w:hAnsi="Times New Roman" w:cs="Times New Roman"/>
          <w:sz w:val="28"/>
        </w:rPr>
        <w:t>СОДЕРЖАНИЕ</w:t>
      </w:r>
      <w:r w:rsidR="00BC6917">
        <w:rPr>
          <w:rFonts w:ascii="Times New Roman" w:eastAsia="Calibri" w:hAnsi="Times New Roman" w:cs="Times New Roman"/>
          <w:sz w:val="28"/>
        </w:rPr>
        <w:t>……………………………………………………………………</w:t>
      </w:r>
      <w:r w:rsidR="00EB2490">
        <w:rPr>
          <w:rFonts w:ascii="Times New Roman" w:eastAsia="Calibri" w:hAnsi="Times New Roman" w:cs="Times New Roman"/>
          <w:sz w:val="28"/>
        </w:rPr>
        <w:t>2-3</w:t>
      </w:r>
    </w:p>
    <w:p w:rsidR="007C4D2F" w:rsidRPr="007C004C" w:rsidRDefault="007C4D2F" w:rsidP="008D5461">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ПЕРЕЧЕНЬ СОКРАЩЕНИЙ И ОБОЗНАЧЕНИЙ</w:t>
      </w:r>
      <w:r w:rsidR="00BC6917">
        <w:rPr>
          <w:rFonts w:ascii="Times New Roman" w:eastAsia="Calibri" w:hAnsi="Times New Roman" w:cs="Times New Roman"/>
          <w:sz w:val="28"/>
        </w:rPr>
        <w:t>………………………………</w:t>
      </w:r>
      <w:r w:rsidR="00EB2490">
        <w:rPr>
          <w:rFonts w:ascii="Times New Roman" w:eastAsia="Calibri" w:hAnsi="Times New Roman" w:cs="Times New Roman"/>
          <w:sz w:val="28"/>
        </w:rPr>
        <w:t>4-4</w:t>
      </w:r>
    </w:p>
    <w:p w:rsidR="008D5461" w:rsidRPr="007C004C" w:rsidRDefault="008D5461" w:rsidP="008D5461">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ВВЕДЕНИЕ</w:t>
      </w:r>
      <w:r w:rsidR="00BC6917">
        <w:rPr>
          <w:rFonts w:ascii="Times New Roman" w:eastAsia="Calibri" w:hAnsi="Times New Roman" w:cs="Times New Roman"/>
          <w:sz w:val="28"/>
        </w:rPr>
        <w:t>………………………………………………………………………...</w:t>
      </w:r>
      <w:r w:rsidR="00EB2490">
        <w:rPr>
          <w:rFonts w:ascii="Times New Roman" w:eastAsia="Calibri" w:hAnsi="Times New Roman" w:cs="Times New Roman"/>
          <w:sz w:val="28"/>
        </w:rPr>
        <w:t>5-8</w:t>
      </w:r>
    </w:p>
    <w:p w:rsidR="008D5461" w:rsidRPr="007C004C" w:rsidRDefault="008D5461" w:rsidP="008D5461">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ГЛАВА 1. ОБЗОР ЛИТЕРАТУРЫ</w:t>
      </w:r>
      <w:r w:rsidR="000D1F9B">
        <w:rPr>
          <w:rFonts w:ascii="Times New Roman" w:eastAsia="Calibri" w:hAnsi="Times New Roman" w:cs="Times New Roman"/>
          <w:sz w:val="28"/>
        </w:rPr>
        <w:t xml:space="preserve">. </w:t>
      </w:r>
      <w:r w:rsidR="000D1F9B" w:rsidRPr="000D1F9B">
        <w:rPr>
          <w:rFonts w:ascii="Times New Roman" w:eastAsia="Calibri" w:hAnsi="Times New Roman" w:cs="Times New Roman"/>
          <w:sz w:val="28"/>
        </w:rPr>
        <w:t>СОВРЕМЕННЫЕ ПРЕДСТАВЛЕНИЯ ОБ ЭПИДЕМИОЛОГИИ, КЛИНИКО-ПАТОГЕНЕЗУ, ИММУНОПАТОЛОГИИ, ДОПОЛНИТЕЛЬНЫХ ФАКТОРАХ ПОДДЕРЖАНИЯ ВОСПАЛЕНИЯ, ДИАГНОСТИКЕ, ЛЕЧЕНИЮ COVID-19</w:t>
      </w:r>
      <w:r w:rsidR="00BC6917">
        <w:rPr>
          <w:rFonts w:ascii="Times New Roman" w:eastAsia="Calibri" w:hAnsi="Times New Roman" w:cs="Times New Roman"/>
          <w:sz w:val="28"/>
        </w:rPr>
        <w:t>……………………………………</w:t>
      </w:r>
      <w:r w:rsidR="000D1F9B">
        <w:rPr>
          <w:rFonts w:ascii="Times New Roman" w:eastAsia="Calibri" w:hAnsi="Times New Roman" w:cs="Times New Roman"/>
          <w:sz w:val="28"/>
        </w:rPr>
        <w:t>.</w:t>
      </w:r>
      <w:r w:rsidR="00BC6917">
        <w:rPr>
          <w:rFonts w:ascii="Times New Roman" w:eastAsia="Calibri" w:hAnsi="Times New Roman" w:cs="Times New Roman"/>
          <w:sz w:val="28"/>
        </w:rPr>
        <w:t>..</w:t>
      </w:r>
      <w:r w:rsidR="00EB2490">
        <w:rPr>
          <w:rFonts w:ascii="Times New Roman" w:eastAsia="Calibri" w:hAnsi="Times New Roman" w:cs="Times New Roman"/>
          <w:sz w:val="28"/>
        </w:rPr>
        <w:t>9-31</w:t>
      </w:r>
    </w:p>
    <w:p w:rsidR="007732E8" w:rsidRPr="007C004C" w:rsidRDefault="008D5461" w:rsidP="008D5461">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ГЛАВА 2. МАТЕРИАЛЫ И МЕТОДЫ ИССЛЕДОВАНИЯ</w:t>
      </w:r>
      <w:r w:rsidR="00BC6917">
        <w:rPr>
          <w:rFonts w:ascii="Times New Roman" w:eastAsia="Calibri" w:hAnsi="Times New Roman" w:cs="Times New Roman"/>
          <w:sz w:val="28"/>
        </w:rPr>
        <w:t>………………...</w:t>
      </w:r>
      <w:r w:rsidR="00EB2490">
        <w:rPr>
          <w:rFonts w:ascii="Times New Roman" w:eastAsia="Calibri" w:hAnsi="Times New Roman" w:cs="Times New Roman"/>
          <w:sz w:val="28"/>
        </w:rPr>
        <w:t>32-47</w:t>
      </w:r>
    </w:p>
    <w:p w:rsidR="00BC6917" w:rsidRDefault="008D5461" w:rsidP="008D5461">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ГЛАВА 3. РЕЗУЛЬТАТЫ СОБСТВЕННЫХ ИССЛЕДОВАНИЙ И </w:t>
      </w:r>
    </w:p>
    <w:p w:rsidR="008D5461" w:rsidRPr="007C004C" w:rsidRDefault="008D5461" w:rsidP="008D5461">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ИХ ОБСУЖЕНИЕ</w:t>
      </w:r>
      <w:r w:rsidR="00BC6917">
        <w:rPr>
          <w:rFonts w:ascii="Times New Roman" w:eastAsia="Calibri" w:hAnsi="Times New Roman" w:cs="Times New Roman"/>
          <w:sz w:val="28"/>
        </w:rPr>
        <w:t>……………………………………………………………..</w:t>
      </w:r>
      <w:r w:rsidR="00EB2490">
        <w:rPr>
          <w:rFonts w:ascii="Times New Roman" w:eastAsia="Calibri" w:hAnsi="Times New Roman" w:cs="Times New Roman"/>
          <w:sz w:val="28"/>
        </w:rPr>
        <w:t>48-105</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3.1. Эпидемиологические особенности </w:t>
      </w:r>
      <w:r w:rsidRPr="007C004C">
        <w:rPr>
          <w:rFonts w:ascii="Times New Roman" w:eastAsia="Calibri" w:hAnsi="Times New Roman" w:cs="Times New Roman"/>
          <w:sz w:val="28"/>
          <w:lang w:val="en-US"/>
        </w:rPr>
        <w:t>COVID</w:t>
      </w:r>
      <w:r w:rsidRPr="007C004C">
        <w:rPr>
          <w:rFonts w:ascii="Times New Roman" w:eastAsia="Calibri" w:hAnsi="Times New Roman" w:cs="Times New Roman"/>
          <w:sz w:val="28"/>
        </w:rPr>
        <w:t xml:space="preserve">-19 в условиях низко-, </w:t>
      </w:r>
    </w:p>
    <w:p w:rsidR="007732E8" w:rsidRPr="007C004C"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средне-, высокогорья</w:t>
      </w:r>
      <w:r w:rsidR="00BC6917">
        <w:rPr>
          <w:rFonts w:ascii="Times New Roman" w:eastAsia="Calibri" w:hAnsi="Times New Roman" w:cs="Times New Roman"/>
          <w:sz w:val="28"/>
        </w:rPr>
        <w:t>…………………………………………………………...</w:t>
      </w:r>
      <w:r w:rsidR="007C3D04">
        <w:rPr>
          <w:rFonts w:ascii="Times New Roman" w:eastAsia="Calibri" w:hAnsi="Times New Roman" w:cs="Times New Roman"/>
          <w:sz w:val="28"/>
        </w:rPr>
        <w:t>48-55</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3.2. Клинико-лабораторные, иммунологические и инструментальные</w:t>
      </w:r>
    </w:p>
    <w:p w:rsidR="007732E8" w:rsidRPr="007C004C"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 проявления </w:t>
      </w:r>
      <w:r w:rsidRPr="007C004C">
        <w:rPr>
          <w:rFonts w:ascii="Times New Roman" w:eastAsia="Calibri" w:hAnsi="Times New Roman" w:cs="Times New Roman"/>
          <w:sz w:val="28"/>
          <w:lang w:val="en-US"/>
        </w:rPr>
        <w:t>COVID</w:t>
      </w:r>
      <w:r w:rsidRPr="007C004C">
        <w:rPr>
          <w:rFonts w:ascii="Times New Roman" w:eastAsia="Calibri" w:hAnsi="Times New Roman" w:cs="Times New Roman"/>
          <w:sz w:val="28"/>
        </w:rPr>
        <w:t>-19 в условиях низко-, средне- и высокогорья</w:t>
      </w:r>
      <w:r w:rsidR="00BC6917">
        <w:rPr>
          <w:rFonts w:ascii="Times New Roman" w:eastAsia="Calibri" w:hAnsi="Times New Roman" w:cs="Times New Roman"/>
          <w:sz w:val="28"/>
        </w:rPr>
        <w:t>…………</w:t>
      </w:r>
      <w:r w:rsidR="007C3D04">
        <w:rPr>
          <w:rFonts w:ascii="Times New Roman" w:eastAsia="Calibri" w:hAnsi="Times New Roman" w:cs="Times New Roman"/>
          <w:sz w:val="28"/>
        </w:rPr>
        <w:t>55-8</w:t>
      </w:r>
      <w:r w:rsidR="00B52A4D">
        <w:rPr>
          <w:rFonts w:ascii="Times New Roman" w:eastAsia="Calibri" w:hAnsi="Times New Roman" w:cs="Times New Roman"/>
          <w:sz w:val="28"/>
        </w:rPr>
        <w:t>8</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3.2.1. Особенности клинического течения </w:t>
      </w:r>
      <w:r w:rsidRPr="007C004C">
        <w:rPr>
          <w:rFonts w:ascii="Times New Roman" w:eastAsia="Calibri" w:hAnsi="Times New Roman" w:cs="Times New Roman"/>
          <w:sz w:val="28"/>
          <w:lang w:val="en-US"/>
        </w:rPr>
        <w:t>COVID</w:t>
      </w:r>
      <w:r w:rsidRPr="007C004C">
        <w:rPr>
          <w:rFonts w:ascii="Times New Roman" w:eastAsia="Calibri" w:hAnsi="Times New Roman" w:cs="Times New Roman"/>
          <w:sz w:val="28"/>
        </w:rPr>
        <w:t>-19 в условиях низко-,</w:t>
      </w:r>
    </w:p>
    <w:p w:rsidR="007732E8" w:rsidRPr="007C004C"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 средне- и высокогорья</w:t>
      </w:r>
      <w:r w:rsidR="00BC6917">
        <w:rPr>
          <w:rFonts w:ascii="Times New Roman" w:eastAsia="Calibri" w:hAnsi="Times New Roman" w:cs="Times New Roman"/>
          <w:sz w:val="28"/>
        </w:rPr>
        <w:t>…………………………………………………………</w:t>
      </w:r>
      <w:r w:rsidR="00B52A4D">
        <w:rPr>
          <w:rFonts w:ascii="Times New Roman" w:eastAsia="Calibri" w:hAnsi="Times New Roman" w:cs="Times New Roman"/>
          <w:sz w:val="28"/>
        </w:rPr>
        <w:t>55</w:t>
      </w:r>
      <w:r w:rsidR="00EB2490">
        <w:rPr>
          <w:rFonts w:ascii="Times New Roman" w:eastAsia="Calibri" w:hAnsi="Times New Roman" w:cs="Times New Roman"/>
          <w:sz w:val="28"/>
        </w:rPr>
        <w:t>-59</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3.2.2. Особенности проявления базовых объективных показателей </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состояния организма пациентов с </w:t>
      </w:r>
      <w:r w:rsidRPr="007C004C">
        <w:rPr>
          <w:rFonts w:ascii="Times New Roman" w:eastAsia="Calibri" w:hAnsi="Times New Roman" w:cs="Times New Roman"/>
          <w:sz w:val="28"/>
          <w:lang w:val="en-US"/>
        </w:rPr>
        <w:t>COVID</w:t>
      </w:r>
      <w:r w:rsidRPr="007C004C">
        <w:rPr>
          <w:rFonts w:ascii="Times New Roman" w:eastAsia="Calibri" w:hAnsi="Times New Roman" w:cs="Times New Roman"/>
          <w:sz w:val="28"/>
        </w:rPr>
        <w:t xml:space="preserve">-19 в условиях низко-, средне- </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и высокогорья</w:t>
      </w:r>
      <w:r w:rsidR="00BC6917">
        <w:rPr>
          <w:rFonts w:ascii="Times New Roman" w:eastAsia="Calibri" w:hAnsi="Times New Roman" w:cs="Times New Roman"/>
          <w:sz w:val="28"/>
        </w:rPr>
        <w:t>……………………………………………………………….…..</w:t>
      </w:r>
      <w:r w:rsidR="00EB2490">
        <w:rPr>
          <w:rFonts w:ascii="Times New Roman" w:eastAsia="Calibri" w:hAnsi="Times New Roman" w:cs="Times New Roman"/>
          <w:sz w:val="28"/>
        </w:rPr>
        <w:t>60-64</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3.2.3. Изменения показателей крови у пациентов с </w:t>
      </w:r>
      <w:r w:rsidRPr="007C004C">
        <w:rPr>
          <w:rFonts w:ascii="Times New Roman" w:eastAsia="Calibri" w:hAnsi="Times New Roman" w:cs="Times New Roman"/>
          <w:sz w:val="28"/>
          <w:lang w:val="en-US"/>
        </w:rPr>
        <w:t>COVID</w:t>
      </w:r>
      <w:r w:rsidRPr="007C004C">
        <w:rPr>
          <w:rFonts w:ascii="Times New Roman" w:eastAsia="Calibri" w:hAnsi="Times New Roman" w:cs="Times New Roman"/>
          <w:sz w:val="28"/>
        </w:rPr>
        <w:t>-19 в исследуемых</w:t>
      </w:r>
    </w:p>
    <w:p w:rsidR="007732E8" w:rsidRPr="007C004C"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регионах и динамика в период заболевания</w:t>
      </w:r>
      <w:r w:rsidR="00BC6917">
        <w:rPr>
          <w:rFonts w:ascii="Times New Roman" w:eastAsia="Calibri" w:hAnsi="Times New Roman" w:cs="Times New Roman"/>
          <w:sz w:val="28"/>
        </w:rPr>
        <w:t>…………………………………..</w:t>
      </w:r>
      <w:r w:rsidR="00EB2490">
        <w:rPr>
          <w:rFonts w:ascii="Times New Roman" w:eastAsia="Calibri" w:hAnsi="Times New Roman" w:cs="Times New Roman"/>
          <w:sz w:val="28"/>
        </w:rPr>
        <w:t>64-67</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3.2.4. Особенности изменения биохимических показателей крови у пациентов </w:t>
      </w:r>
    </w:p>
    <w:p w:rsidR="007732E8" w:rsidRPr="007C004C"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с </w:t>
      </w:r>
      <w:r w:rsidRPr="007C004C">
        <w:rPr>
          <w:rFonts w:ascii="Times New Roman" w:eastAsia="Calibri" w:hAnsi="Times New Roman" w:cs="Times New Roman"/>
          <w:sz w:val="28"/>
          <w:lang w:val="en-US"/>
        </w:rPr>
        <w:t>COVID</w:t>
      </w:r>
      <w:r w:rsidRPr="007C004C">
        <w:rPr>
          <w:rFonts w:ascii="Times New Roman" w:eastAsia="Calibri" w:hAnsi="Times New Roman" w:cs="Times New Roman"/>
          <w:sz w:val="28"/>
        </w:rPr>
        <w:t>-19 в условиях низко-, средне- и высокогорья</w:t>
      </w:r>
      <w:r w:rsidR="00BC6917">
        <w:rPr>
          <w:rFonts w:ascii="Times New Roman" w:eastAsia="Calibri" w:hAnsi="Times New Roman" w:cs="Times New Roman"/>
          <w:sz w:val="28"/>
        </w:rPr>
        <w:t>……………………...</w:t>
      </w:r>
      <w:r w:rsidR="00EB2490">
        <w:rPr>
          <w:rFonts w:ascii="Times New Roman" w:eastAsia="Calibri" w:hAnsi="Times New Roman" w:cs="Times New Roman"/>
          <w:sz w:val="28"/>
        </w:rPr>
        <w:t>67-69</w:t>
      </w:r>
      <w:r w:rsidRPr="007C004C">
        <w:rPr>
          <w:rFonts w:ascii="Times New Roman" w:eastAsia="Calibri" w:hAnsi="Times New Roman" w:cs="Times New Roman"/>
          <w:sz w:val="28"/>
        </w:rPr>
        <w:t xml:space="preserve"> </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3.2.5. Иммунологические и цитокиновые показатели воспалительного </w:t>
      </w:r>
    </w:p>
    <w:p w:rsidR="007732E8" w:rsidRPr="007C004C"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процесса у исследуемых из</w:t>
      </w:r>
      <w:r w:rsidR="00EB2490">
        <w:rPr>
          <w:rFonts w:ascii="Times New Roman" w:eastAsia="Calibri" w:hAnsi="Times New Roman" w:cs="Times New Roman"/>
          <w:sz w:val="28"/>
        </w:rPr>
        <w:t xml:space="preserve"> низко-, средне- и высокогорья</w:t>
      </w:r>
      <w:r w:rsidR="00BC6917">
        <w:rPr>
          <w:rFonts w:ascii="Times New Roman" w:eastAsia="Calibri" w:hAnsi="Times New Roman" w:cs="Times New Roman"/>
          <w:sz w:val="28"/>
        </w:rPr>
        <w:t>………………….</w:t>
      </w:r>
      <w:r w:rsidR="00EB2490">
        <w:rPr>
          <w:rFonts w:ascii="Times New Roman" w:eastAsia="Calibri" w:hAnsi="Times New Roman" w:cs="Times New Roman"/>
          <w:sz w:val="28"/>
        </w:rPr>
        <w:t>70-78</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3.2.6. Особенности проявления свертывающей системы крови у пациентов </w:t>
      </w:r>
    </w:p>
    <w:p w:rsidR="007732E8" w:rsidRPr="007C004C"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с </w:t>
      </w:r>
      <w:r w:rsidRPr="007C004C">
        <w:rPr>
          <w:rFonts w:ascii="Times New Roman" w:eastAsia="Calibri" w:hAnsi="Times New Roman" w:cs="Times New Roman"/>
          <w:sz w:val="28"/>
          <w:lang w:val="en-US"/>
        </w:rPr>
        <w:t>COVID</w:t>
      </w:r>
      <w:r w:rsidRPr="007C004C">
        <w:rPr>
          <w:rFonts w:ascii="Times New Roman" w:eastAsia="Calibri" w:hAnsi="Times New Roman" w:cs="Times New Roman"/>
          <w:sz w:val="28"/>
        </w:rPr>
        <w:t>-19 в условиях</w:t>
      </w:r>
      <w:r w:rsidR="00EB2490">
        <w:rPr>
          <w:rFonts w:ascii="Times New Roman" w:eastAsia="Calibri" w:hAnsi="Times New Roman" w:cs="Times New Roman"/>
          <w:sz w:val="28"/>
        </w:rPr>
        <w:t xml:space="preserve"> низко-, средне- и высокогорья</w:t>
      </w:r>
      <w:r w:rsidR="00BC6917">
        <w:rPr>
          <w:rFonts w:ascii="Times New Roman" w:eastAsia="Calibri" w:hAnsi="Times New Roman" w:cs="Times New Roman"/>
          <w:sz w:val="28"/>
        </w:rPr>
        <w:t>……………………...</w:t>
      </w:r>
      <w:r w:rsidR="00EB2490">
        <w:rPr>
          <w:rFonts w:ascii="Times New Roman" w:eastAsia="Calibri" w:hAnsi="Times New Roman" w:cs="Times New Roman"/>
          <w:sz w:val="28"/>
        </w:rPr>
        <w:t>78-81</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3.2.7. Рентгенологические изменения органов грудной</w:t>
      </w:r>
      <w:r w:rsidR="00EB2490">
        <w:rPr>
          <w:rFonts w:ascii="Times New Roman" w:eastAsia="Calibri" w:hAnsi="Times New Roman" w:cs="Times New Roman"/>
          <w:sz w:val="28"/>
        </w:rPr>
        <w:t xml:space="preserve"> клетки в </w:t>
      </w:r>
    </w:p>
    <w:p w:rsidR="00BC6917" w:rsidRPr="007C004C" w:rsidRDefault="00EB2490" w:rsidP="007732E8">
      <w:pPr>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lastRenderedPageBreak/>
        <w:t>исследуемых регионах</w:t>
      </w:r>
      <w:r w:rsidR="00BC6917">
        <w:rPr>
          <w:rFonts w:ascii="Times New Roman" w:eastAsia="Calibri" w:hAnsi="Times New Roman" w:cs="Times New Roman"/>
          <w:sz w:val="28"/>
        </w:rPr>
        <w:t>………………………………………………………….</w:t>
      </w:r>
      <w:r>
        <w:rPr>
          <w:rFonts w:ascii="Times New Roman" w:eastAsia="Calibri" w:hAnsi="Times New Roman" w:cs="Times New Roman"/>
          <w:sz w:val="28"/>
        </w:rPr>
        <w:t>81-82</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3.2.8. Состояние органов брюшной полости у исследуемых пациентов </w:t>
      </w:r>
    </w:p>
    <w:p w:rsidR="007732E8" w:rsidRPr="007C004C"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с </w:t>
      </w:r>
      <w:r w:rsidRPr="007C004C">
        <w:rPr>
          <w:rFonts w:ascii="Times New Roman" w:eastAsia="Calibri" w:hAnsi="Times New Roman" w:cs="Times New Roman"/>
          <w:sz w:val="28"/>
          <w:lang w:val="en-US"/>
        </w:rPr>
        <w:t>COVID</w:t>
      </w:r>
      <w:r w:rsidRPr="007C004C">
        <w:rPr>
          <w:rFonts w:ascii="Times New Roman" w:eastAsia="Calibri" w:hAnsi="Times New Roman" w:cs="Times New Roman"/>
          <w:sz w:val="28"/>
        </w:rPr>
        <w:t>-19 в условиях низко-, средне- и высокогорья</w:t>
      </w:r>
      <w:r w:rsidR="00BC6917">
        <w:rPr>
          <w:rFonts w:ascii="Times New Roman" w:eastAsia="Calibri" w:hAnsi="Times New Roman" w:cs="Times New Roman"/>
          <w:sz w:val="28"/>
        </w:rPr>
        <w:t>……………………...</w:t>
      </w:r>
      <w:r w:rsidR="00EB2490">
        <w:rPr>
          <w:rFonts w:ascii="Times New Roman" w:eastAsia="Calibri" w:hAnsi="Times New Roman" w:cs="Times New Roman"/>
          <w:sz w:val="28"/>
        </w:rPr>
        <w:t>82-83</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3.2.9.  Характеристика терапевтического подхода к </w:t>
      </w:r>
      <w:r w:rsidRPr="007C004C">
        <w:rPr>
          <w:rFonts w:ascii="Times New Roman" w:eastAsia="Calibri" w:hAnsi="Times New Roman" w:cs="Times New Roman"/>
          <w:sz w:val="28"/>
          <w:lang w:val="en-US"/>
        </w:rPr>
        <w:t>COVID</w:t>
      </w:r>
      <w:r w:rsidRPr="007C004C">
        <w:rPr>
          <w:rFonts w:ascii="Times New Roman" w:eastAsia="Calibri" w:hAnsi="Times New Roman" w:cs="Times New Roman"/>
          <w:sz w:val="28"/>
        </w:rPr>
        <w:t xml:space="preserve">-19 </w:t>
      </w:r>
    </w:p>
    <w:p w:rsidR="007732E8" w:rsidRPr="007C004C"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в условиях</w:t>
      </w:r>
      <w:r w:rsidR="00EB2490">
        <w:rPr>
          <w:rFonts w:ascii="Times New Roman" w:eastAsia="Calibri" w:hAnsi="Times New Roman" w:cs="Times New Roman"/>
          <w:sz w:val="28"/>
        </w:rPr>
        <w:t xml:space="preserve"> низко-, средне- и высокогорья</w:t>
      </w:r>
      <w:r w:rsidR="00BC6917">
        <w:rPr>
          <w:rFonts w:ascii="Times New Roman" w:eastAsia="Calibri" w:hAnsi="Times New Roman" w:cs="Times New Roman"/>
          <w:sz w:val="28"/>
        </w:rPr>
        <w:t>…………………………………….</w:t>
      </w:r>
      <w:r w:rsidR="00EB2490">
        <w:rPr>
          <w:rFonts w:ascii="Times New Roman" w:eastAsia="Calibri" w:hAnsi="Times New Roman" w:cs="Times New Roman"/>
          <w:sz w:val="28"/>
        </w:rPr>
        <w:t>83-85</w:t>
      </w:r>
    </w:p>
    <w:p w:rsidR="00BC6917" w:rsidRDefault="00573AD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3.2.10. Изменения ангиотензина </w:t>
      </w:r>
      <w:r w:rsidRPr="007C004C">
        <w:rPr>
          <w:rFonts w:ascii="Times New Roman" w:eastAsia="Calibri" w:hAnsi="Times New Roman" w:cs="Times New Roman"/>
          <w:sz w:val="28"/>
          <w:lang w:val="en-US"/>
        </w:rPr>
        <w:t>II</w:t>
      </w:r>
      <w:r w:rsidRPr="007C004C">
        <w:rPr>
          <w:rFonts w:ascii="Times New Roman" w:eastAsia="Calibri" w:hAnsi="Times New Roman" w:cs="Times New Roman"/>
          <w:sz w:val="28"/>
        </w:rPr>
        <w:t xml:space="preserve"> и ангиотензинпревращающего фермента </w:t>
      </w:r>
    </w:p>
    <w:p w:rsidR="00573AD8" w:rsidRPr="007C004C" w:rsidRDefault="00573AD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2 типа в исследуемых группах</w:t>
      </w:r>
      <w:r w:rsidR="00BC6917">
        <w:rPr>
          <w:rFonts w:ascii="Times New Roman" w:eastAsia="Calibri" w:hAnsi="Times New Roman" w:cs="Times New Roman"/>
          <w:sz w:val="28"/>
        </w:rPr>
        <w:t>…………………………………………………</w:t>
      </w:r>
      <w:r w:rsidR="00EB2490">
        <w:rPr>
          <w:rFonts w:ascii="Times New Roman" w:eastAsia="Calibri" w:hAnsi="Times New Roman" w:cs="Times New Roman"/>
          <w:sz w:val="28"/>
        </w:rPr>
        <w:t>85-88</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3.3. Показатели ментального здоровья у пациентов с </w:t>
      </w:r>
      <w:r w:rsidRPr="007C004C">
        <w:rPr>
          <w:rFonts w:ascii="Times New Roman" w:eastAsia="Calibri" w:hAnsi="Times New Roman" w:cs="Times New Roman"/>
          <w:sz w:val="28"/>
          <w:lang w:val="en-US"/>
        </w:rPr>
        <w:t>COVID</w:t>
      </w:r>
      <w:r w:rsidRPr="007C004C">
        <w:rPr>
          <w:rFonts w:ascii="Times New Roman" w:eastAsia="Calibri" w:hAnsi="Times New Roman" w:cs="Times New Roman"/>
          <w:sz w:val="28"/>
        </w:rPr>
        <w:t xml:space="preserve">-19 </w:t>
      </w:r>
    </w:p>
    <w:p w:rsidR="007732E8" w:rsidRPr="007C004C"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в период заболевания</w:t>
      </w:r>
      <w:r w:rsidR="00BC6917">
        <w:rPr>
          <w:rFonts w:ascii="Times New Roman" w:eastAsia="Calibri" w:hAnsi="Times New Roman" w:cs="Times New Roman"/>
          <w:sz w:val="28"/>
        </w:rPr>
        <w:t>…………………………………………………………...</w:t>
      </w:r>
      <w:r w:rsidR="00EB2490">
        <w:rPr>
          <w:rFonts w:ascii="Times New Roman" w:eastAsia="Calibri" w:hAnsi="Times New Roman" w:cs="Times New Roman"/>
          <w:sz w:val="28"/>
        </w:rPr>
        <w:t>88-95</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3.4. Концепция дисбаланса ангиотензиновой системы в изучаемых </w:t>
      </w:r>
    </w:p>
    <w:p w:rsidR="007732E8" w:rsidRPr="007C004C" w:rsidRDefault="00BC6917" w:rsidP="007732E8">
      <w:pPr>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р</w:t>
      </w:r>
      <w:r w:rsidR="007732E8" w:rsidRPr="007C004C">
        <w:rPr>
          <w:rFonts w:ascii="Times New Roman" w:eastAsia="Calibri" w:hAnsi="Times New Roman" w:cs="Times New Roman"/>
          <w:sz w:val="28"/>
        </w:rPr>
        <w:t>егионах</w:t>
      </w:r>
      <w:r>
        <w:rPr>
          <w:rFonts w:ascii="Times New Roman" w:eastAsia="Calibri" w:hAnsi="Times New Roman" w:cs="Times New Roman"/>
          <w:sz w:val="28"/>
        </w:rPr>
        <w:t>……………………………………………………………………….</w:t>
      </w:r>
      <w:r w:rsidR="007732E8" w:rsidRPr="007C004C">
        <w:rPr>
          <w:rFonts w:ascii="Times New Roman" w:eastAsia="Calibri" w:hAnsi="Times New Roman" w:cs="Times New Roman"/>
          <w:sz w:val="28"/>
        </w:rPr>
        <w:t>.</w:t>
      </w:r>
      <w:r w:rsidR="00EB2490">
        <w:rPr>
          <w:rFonts w:ascii="Times New Roman" w:eastAsia="Calibri" w:hAnsi="Times New Roman" w:cs="Times New Roman"/>
          <w:sz w:val="28"/>
        </w:rPr>
        <w:t>92-105</w:t>
      </w:r>
      <w:r w:rsidR="007732E8" w:rsidRPr="007C004C">
        <w:rPr>
          <w:rFonts w:ascii="Times New Roman" w:eastAsia="Calibri" w:hAnsi="Times New Roman" w:cs="Times New Roman"/>
          <w:sz w:val="28"/>
        </w:rPr>
        <w:t xml:space="preserve"> </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3.4.1. Общая концепция причинно-следственных связей возникновения</w:t>
      </w:r>
    </w:p>
    <w:p w:rsidR="007732E8" w:rsidRPr="007C004C"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 патофизиологических механизмов в аспекте настоящего исследования</w:t>
      </w:r>
      <w:r w:rsidR="00BC6917">
        <w:rPr>
          <w:rFonts w:ascii="Times New Roman" w:eastAsia="Calibri" w:hAnsi="Times New Roman" w:cs="Times New Roman"/>
          <w:sz w:val="28"/>
        </w:rPr>
        <w:t>….</w:t>
      </w:r>
      <w:r w:rsidRPr="007C004C">
        <w:rPr>
          <w:rFonts w:ascii="Times New Roman" w:eastAsia="Calibri" w:hAnsi="Times New Roman" w:cs="Times New Roman"/>
          <w:sz w:val="28"/>
        </w:rPr>
        <w:t>.</w:t>
      </w:r>
      <w:r w:rsidR="00EB2490">
        <w:rPr>
          <w:rFonts w:ascii="Times New Roman" w:eastAsia="Calibri" w:hAnsi="Times New Roman" w:cs="Times New Roman"/>
          <w:sz w:val="28"/>
        </w:rPr>
        <w:t>95-97</w:t>
      </w:r>
      <w:r w:rsidRPr="007C004C">
        <w:rPr>
          <w:rFonts w:ascii="Times New Roman" w:eastAsia="Calibri" w:hAnsi="Times New Roman" w:cs="Times New Roman"/>
          <w:sz w:val="28"/>
        </w:rPr>
        <w:t xml:space="preserve"> </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3.4.2. Общая концепция реализации патофизиологических механизмов </w:t>
      </w:r>
    </w:p>
    <w:p w:rsidR="007732E8" w:rsidRPr="007C004C"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при </w:t>
      </w:r>
      <w:r w:rsidRPr="007C004C">
        <w:rPr>
          <w:rFonts w:ascii="Times New Roman" w:eastAsia="Calibri" w:hAnsi="Times New Roman" w:cs="Times New Roman"/>
          <w:sz w:val="28"/>
          <w:lang w:val="en-US"/>
        </w:rPr>
        <w:t>COVID</w:t>
      </w:r>
      <w:r w:rsidRPr="007C004C">
        <w:rPr>
          <w:rFonts w:ascii="Times New Roman" w:eastAsia="Calibri" w:hAnsi="Times New Roman" w:cs="Times New Roman"/>
          <w:sz w:val="28"/>
        </w:rPr>
        <w:t>-19</w:t>
      </w:r>
      <w:r w:rsidR="00BC6917">
        <w:rPr>
          <w:rFonts w:ascii="Times New Roman" w:eastAsia="Calibri" w:hAnsi="Times New Roman" w:cs="Times New Roman"/>
          <w:sz w:val="28"/>
        </w:rPr>
        <w:t>…………………………………………………………………..</w:t>
      </w:r>
      <w:r w:rsidRPr="007C004C">
        <w:rPr>
          <w:rFonts w:ascii="Times New Roman" w:eastAsia="Calibri" w:hAnsi="Times New Roman" w:cs="Times New Roman"/>
          <w:sz w:val="28"/>
        </w:rPr>
        <w:t>.</w:t>
      </w:r>
      <w:r w:rsidR="00EB2490">
        <w:rPr>
          <w:rFonts w:ascii="Times New Roman" w:eastAsia="Calibri" w:hAnsi="Times New Roman" w:cs="Times New Roman"/>
          <w:sz w:val="28"/>
        </w:rPr>
        <w:t>98-99</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3.4.3. Концепция становления патофизиологического процесса вос</w:t>
      </w:r>
      <w:r w:rsidR="00EB2490">
        <w:rPr>
          <w:rFonts w:ascii="Times New Roman" w:eastAsia="Calibri" w:hAnsi="Times New Roman" w:cs="Times New Roman"/>
          <w:sz w:val="28"/>
        </w:rPr>
        <w:t xml:space="preserve">паления </w:t>
      </w:r>
    </w:p>
    <w:p w:rsidR="007732E8" w:rsidRPr="007C004C" w:rsidRDefault="00EB2490" w:rsidP="007732E8">
      <w:pPr>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в условиях высокогорья</w:t>
      </w:r>
      <w:r w:rsidR="00BC6917">
        <w:rPr>
          <w:rFonts w:ascii="Times New Roman" w:eastAsia="Calibri" w:hAnsi="Times New Roman" w:cs="Times New Roman"/>
          <w:sz w:val="28"/>
        </w:rPr>
        <w:t>……………………………………………………….</w:t>
      </w:r>
      <w:r>
        <w:rPr>
          <w:rFonts w:ascii="Times New Roman" w:eastAsia="Calibri" w:hAnsi="Times New Roman" w:cs="Times New Roman"/>
          <w:sz w:val="28"/>
        </w:rPr>
        <w:t>99-100</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3.4.4. Концепция патофизиологических механизмов формирования </w:t>
      </w:r>
    </w:p>
    <w:p w:rsidR="007732E8" w:rsidRPr="007C004C"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активности свертывающей системы крови в условиях высокогорья</w:t>
      </w:r>
      <w:r w:rsidR="00BC6917">
        <w:rPr>
          <w:rFonts w:ascii="Times New Roman" w:eastAsia="Calibri" w:hAnsi="Times New Roman" w:cs="Times New Roman"/>
          <w:sz w:val="28"/>
        </w:rPr>
        <w:t>…….</w:t>
      </w:r>
      <w:r w:rsidR="00EB2490">
        <w:rPr>
          <w:rFonts w:ascii="Times New Roman" w:eastAsia="Calibri" w:hAnsi="Times New Roman" w:cs="Times New Roman"/>
          <w:sz w:val="28"/>
        </w:rPr>
        <w:t>101-102</w:t>
      </w:r>
    </w:p>
    <w:p w:rsidR="00BC6917"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3.4.5. Концепция патофизиологического механизма формирования</w:t>
      </w:r>
    </w:p>
    <w:p w:rsidR="007732E8" w:rsidRPr="007C004C" w:rsidRDefault="007732E8" w:rsidP="007732E8">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 xml:space="preserve"> электролитного дис</w:t>
      </w:r>
      <w:r w:rsidR="00EB2490">
        <w:rPr>
          <w:rFonts w:ascii="Times New Roman" w:eastAsia="Calibri" w:hAnsi="Times New Roman" w:cs="Times New Roman"/>
          <w:sz w:val="28"/>
        </w:rPr>
        <w:t>баланса в условиях высокогорья</w:t>
      </w:r>
      <w:r w:rsidR="00BC6917">
        <w:rPr>
          <w:rFonts w:ascii="Times New Roman" w:eastAsia="Calibri" w:hAnsi="Times New Roman" w:cs="Times New Roman"/>
          <w:sz w:val="28"/>
        </w:rPr>
        <w:t>……………………..</w:t>
      </w:r>
      <w:r w:rsidR="00EB2490">
        <w:rPr>
          <w:rFonts w:ascii="Times New Roman" w:eastAsia="Calibri" w:hAnsi="Times New Roman" w:cs="Times New Roman"/>
          <w:sz w:val="28"/>
        </w:rPr>
        <w:t>102-103</w:t>
      </w:r>
    </w:p>
    <w:p w:rsidR="00BC6917" w:rsidRDefault="007732E8" w:rsidP="008D5461">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3.4.6. Концепция формирования фона ментальной ре</w:t>
      </w:r>
      <w:r w:rsidR="00EB2490">
        <w:rPr>
          <w:rFonts w:ascii="Times New Roman" w:eastAsia="Calibri" w:hAnsi="Times New Roman" w:cs="Times New Roman"/>
          <w:sz w:val="28"/>
        </w:rPr>
        <w:t xml:space="preserve">активности у </w:t>
      </w:r>
    </w:p>
    <w:p w:rsidR="007732E8" w:rsidRPr="007C004C" w:rsidRDefault="00EB2490" w:rsidP="008D5461">
      <w:pPr>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исследуемых групп</w:t>
      </w:r>
      <w:r w:rsidR="00BC6917">
        <w:rPr>
          <w:rFonts w:ascii="Times New Roman" w:eastAsia="Calibri" w:hAnsi="Times New Roman" w:cs="Times New Roman"/>
          <w:sz w:val="28"/>
        </w:rPr>
        <w:t>…………………………………………………………..</w:t>
      </w:r>
      <w:r>
        <w:rPr>
          <w:rFonts w:ascii="Times New Roman" w:eastAsia="Calibri" w:hAnsi="Times New Roman" w:cs="Times New Roman"/>
          <w:sz w:val="28"/>
        </w:rPr>
        <w:t>103-105</w:t>
      </w:r>
    </w:p>
    <w:p w:rsidR="008D5461" w:rsidRPr="007C004C" w:rsidRDefault="00824D91" w:rsidP="008D5461">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ЗАКЛЮЧЕНИЕ</w:t>
      </w:r>
      <w:r w:rsidR="00BC6917">
        <w:rPr>
          <w:rFonts w:ascii="Times New Roman" w:eastAsia="Calibri" w:hAnsi="Times New Roman" w:cs="Times New Roman"/>
          <w:sz w:val="28"/>
        </w:rPr>
        <w:t>………………………………………………………………</w:t>
      </w:r>
      <w:r w:rsidR="00EB2490">
        <w:rPr>
          <w:rFonts w:ascii="Times New Roman" w:eastAsia="Calibri" w:hAnsi="Times New Roman" w:cs="Times New Roman"/>
          <w:sz w:val="28"/>
        </w:rPr>
        <w:t>106-106</w:t>
      </w:r>
    </w:p>
    <w:p w:rsidR="00824D91" w:rsidRPr="007C004C" w:rsidRDefault="00824D91" w:rsidP="008D5461">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ПРАКТИЧЕСКИЕ РЕКОМЕНДАЦИИ</w:t>
      </w:r>
      <w:r w:rsidR="00BC6917">
        <w:rPr>
          <w:rFonts w:ascii="Times New Roman" w:eastAsia="Calibri" w:hAnsi="Times New Roman" w:cs="Times New Roman"/>
          <w:sz w:val="28"/>
        </w:rPr>
        <w:t>……………………………………..</w:t>
      </w:r>
      <w:r w:rsidR="00EB2490">
        <w:rPr>
          <w:rFonts w:ascii="Times New Roman" w:eastAsia="Calibri" w:hAnsi="Times New Roman" w:cs="Times New Roman"/>
          <w:sz w:val="28"/>
        </w:rPr>
        <w:t>107-108</w:t>
      </w:r>
    </w:p>
    <w:p w:rsidR="008D5461" w:rsidRPr="007C004C" w:rsidRDefault="008D5461" w:rsidP="008D5461">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СПИСОК ИСПОЛЬЗОВАННОЙ ЛИТЕРАТУРЫ</w:t>
      </w:r>
      <w:r w:rsidR="00BC6917">
        <w:rPr>
          <w:rFonts w:ascii="Times New Roman" w:eastAsia="Calibri" w:hAnsi="Times New Roman" w:cs="Times New Roman"/>
          <w:sz w:val="28"/>
        </w:rPr>
        <w:t>…………………………</w:t>
      </w:r>
      <w:r w:rsidR="00EB2490">
        <w:rPr>
          <w:rFonts w:ascii="Times New Roman" w:eastAsia="Calibri" w:hAnsi="Times New Roman" w:cs="Times New Roman"/>
          <w:sz w:val="28"/>
        </w:rPr>
        <w:t>109-129</w:t>
      </w:r>
    </w:p>
    <w:p w:rsidR="00824D91" w:rsidRPr="007C004C" w:rsidRDefault="00824D91" w:rsidP="008D5461">
      <w:pPr>
        <w:spacing w:after="0" w:line="360" w:lineRule="auto"/>
        <w:jc w:val="both"/>
        <w:rPr>
          <w:rFonts w:ascii="Times New Roman" w:eastAsia="Calibri" w:hAnsi="Times New Roman" w:cs="Times New Roman"/>
          <w:sz w:val="28"/>
        </w:rPr>
      </w:pPr>
      <w:r w:rsidRPr="007C004C">
        <w:rPr>
          <w:rFonts w:ascii="Times New Roman" w:eastAsia="Calibri" w:hAnsi="Times New Roman" w:cs="Times New Roman"/>
          <w:sz w:val="28"/>
        </w:rPr>
        <w:t>ПРИЛОЖЕНИЯ</w:t>
      </w:r>
      <w:r w:rsidR="00BC6917">
        <w:rPr>
          <w:rFonts w:ascii="Times New Roman" w:eastAsia="Calibri" w:hAnsi="Times New Roman" w:cs="Times New Roman"/>
          <w:sz w:val="28"/>
        </w:rPr>
        <w:t>……………………………………………………………….</w:t>
      </w:r>
      <w:r w:rsidR="00EB2490">
        <w:rPr>
          <w:rFonts w:ascii="Times New Roman" w:eastAsia="Calibri" w:hAnsi="Times New Roman" w:cs="Times New Roman"/>
          <w:sz w:val="28"/>
        </w:rPr>
        <w:t>130-</w:t>
      </w:r>
    </w:p>
    <w:p w:rsidR="007732E8" w:rsidRDefault="007732E8" w:rsidP="008D5461">
      <w:pPr>
        <w:spacing w:after="0" w:line="360" w:lineRule="auto"/>
        <w:jc w:val="both"/>
        <w:rPr>
          <w:rFonts w:ascii="Times New Roman" w:eastAsia="Calibri" w:hAnsi="Times New Roman" w:cs="Times New Roman"/>
          <w:b/>
          <w:sz w:val="28"/>
        </w:rPr>
      </w:pPr>
    </w:p>
    <w:p w:rsidR="007732E8" w:rsidRDefault="007732E8" w:rsidP="008D5461">
      <w:pPr>
        <w:spacing w:after="0" w:line="360" w:lineRule="auto"/>
        <w:jc w:val="both"/>
        <w:rPr>
          <w:rFonts w:ascii="Times New Roman" w:eastAsia="Calibri" w:hAnsi="Times New Roman" w:cs="Times New Roman"/>
          <w:b/>
          <w:sz w:val="28"/>
        </w:rPr>
      </w:pPr>
    </w:p>
    <w:p w:rsidR="007732E8" w:rsidRDefault="007732E8" w:rsidP="008D5461">
      <w:pPr>
        <w:spacing w:after="0" w:line="360" w:lineRule="auto"/>
        <w:jc w:val="both"/>
        <w:rPr>
          <w:rFonts w:ascii="Times New Roman" w:eastAsia="Calibri" w:hAnsi="Times New Roman" w:cs="Times New Roman"/>
          <w:b/>
          <w:sz w:val="28"/>
        </w:rPr>
      </w:pPr>
    </w:p>
    <w:p w:rsidR="00573AD8" w:rsidRDefault="00573AD8" w:rsidP="008D5461">
      <w:pPr>
        <w:spacing w:after="0" w:line="360" w:lineRule="auto"/>
        <w:jc w:val="both"/>
        <w:rPr>
          <w:rFonts w:ascii="Times New Roman" w:eastAsia="Calibri" w:hAnsi="Times New Roman" w:cs="Times New Roman"/>
          <w:b/>
          <w:sz w:val="28"/>
        </w:rPr>
      </w:pPr>
    </w:p>
    <w:p w:rsidR="007732E8" w:rsidRPr="00454AF9" w:rsidRDefault="007732E8" w:rsidP="007732E8">
      <w:pPr>
        <w:spacing w:after="0" w:line="360" w:lineRule="auto"/>
        <w:jc w:val="center"/>
        <w:rPr>
          <w:rFonts w:ascii="Times New Roman" w:eastAsia="Calibri" w:hAnsi="Times New Roman" w:cs="Times New Roman"/>
          <w:b/>
          <w:sz w:val="32"/>
        </w:rPr>
      </w:pPr>
      <w:r w:rsidRPr="00454AF9">
        <w:rPr>
          <w:rFonts w:ascii="Times New Roman" w:eastAsia="Calibri" w:hAnsi="Times New Roman" w:cs="Times New Roman"/>
          <w:b/>
          <w:sz w:val="32"/>
        </w:rPr>
        <w:t>СПИСОК СОКРАЩЕНИЙ</w:t>
      </w:r>
    </w:p>
    <w:p w:rsidR="008D5461" w:rsidRDefault="008D5461" w:rsidP="008D5461">
      <w:pPr>
        <w:spacing w:after="0" w:line="360" w:lineRule="auto"/>
        <w:jc w:val="both"/>
        <w:rPr>
          <w:rFonts w:ascii="Times New Roman" w:hAnsi="Times New Roman" w:cs="Times New Roman"/>
          <w:sz w:val="28"/>
          <w:szCs w:val="28"/>
        </w:rPr>
      </w:pP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ACE2 – ангиотензин-превращающий фермент 2 типа</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АЛТ – аланинаминотрансфераза</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АСТ – аспартатаминотрансфераза</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АЧТВ – активированное частичное тромбопластиновое время</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ДАД – диастолическое артериальное давление</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ДВС – диссеминированное внутрисосудистое свертывание</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HAT – гистон ацетилтрансфераза</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IFN – интерферон</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IL – интерлейкин</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ИВЛ – инвазивная вентиляция легких</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МНО – международное нормализованное отношение</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НПВС – нестероидные противовоспалительные средства</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NO – оксид азота</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ОДН – острая дыхательная недостаточность</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OR – отношение шансов (Odds Ratio)</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ОРВИ – острая респираторная вирусная инфекция</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ОРДС – острый респираторный дистресс-синдром</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ПОЛ – перекисное окисление липидов</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ПЦР – полимеразная цепная реакция</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РНК – рибонуклеиновая кислота</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SARS CoV-2 – коронавирус-2, вызывающий COVID-19</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SРO2 – сатурация кислородом</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ССС – сердечно-сосудистая система</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СРБ – С-реактивный белок</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ТВ – тромбиновое время</w:t>
      </w:r>
    </w:p>
    <w:p w:rsidR="007C4D2F" w:rsidRP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ТОРИ – тяжелая острая респираторная инфекция</w:t>
      </w:r>
    </w:p>
    <w:p w:rsidR="007C4D2F" w:rsidRDefault="007C4D2F" w:rsidP="007C4D2F">
      <w:pPr>
        <w:spacing w:after="0" w:line="360" w:lineRule="auto"/>
        <w:jc w:val="both"/>
        <w:rPr>
          <w:rFonts w:ascii="Times New Roman" w:hAnsi="Times New Roman" w:cs="Times New Roman"/>
          <w:sz w:val="28"/>
          <w:szCs w:val="28"/>
        </w:rPr>
      </w:pPr>
      <w:r w:rsidRPr="007C4D2F">
        <w:rPr>
          <w:rFonts w:ascii="Times New Roman" w:hAnsi="Times New Roman" w:cs="Times New Roman"/>
          <w:sz w:val="28"/>
          <w:szCs w:val="28"/>
        </w:rPr>
        <w:t>ФНО-α – фактор некроза опухолей альфа</w:t>
      </w:r>
    </w:p>
    <w:p w:rsidR="007C4D2F" w:rsidRDefault="007C4D2F" w:rsidP="007C4D2F">
      <w:pPr>
        <w:spacing w:after="0" w:line="360" w:lineRule="auto"/>
        <w:jc w:val="both"/>
        <w:rPr>
          <w:rFonts w:ascii="Times New Roman" w:hAnsi="Times New Roman" w:cs="Times New Roman"/>
          <w:sz w:val="28"/>
          <w:szCs w:val="28"/>
        </w:rPr>
      </w:pPr>
    </w:p>
    <w:p w:rsidR="00FF46DF" w:rsidRPr="00454AF9" w:rsidRDefault="00FF46DF" w:rsidP="00FF46DF">
      <w:pPr>
        <w:spacing w:after="0" w:line="360" w:lineRule="auto"/>
        <w:ind w:firstLine="709"/>
        <w:jc w:val="center"/>
        <w:rPr>
          <w:rFonts w:ascii="Times New Roman" w:hAnsi="Times New Roman" w:cs="Times New Roman"/>
          <w:b/>
          <w:bCs/>
          <w:sz w:val="32"/>
          <w:szCs w:val="28"/>
        </w:rPr>
      </w:pPr>
      <w:r w:rsidRPr="00454AF9">
        <w:rPr>
          <w:rFonts w:ascii="Times New Roman" w:hAnsi="Times New Roman" w:cs="Times New Roman"/>
          <w:b/>
          <w:bCs/>
          <w:sz w:val="32"/>
          <w:szCs w:val="28"/>
        </w:rPr>
        <w:t>ВВЕДЕНИЕ</w:t>
      </w:r>
    </w:p>
    <w:p w:rsidR="007C004C" w:rsidRPr="00956CB8" w:rsidRDefault="007C004C" w:rsidP="00FF46DF">
      <w:pPr>
        <w:spacing w:after="0" w:line="360" w:lineRule="auto"/>
        <w:ind w:firstLine="709"/>
        <w:jc w:val="center"/>
        <w:rPr>
          <w:rFonts w:ascii="Times New Roman" w:hAnsi="Times New Roman" w:cs="Times New Roman"/>
          <w:b/>
          <w:bCs/>
          <w:sz w:val="28"/>
          <w:szCs w:val="28"/>
        </w:rPr>
      </w:pPr>
    </w:p>
    <w:p w:rsidR="00FF46DF" w:rsidRDefault="00FF46DF" w:rsidP="007C004C">
      <w:pPr>
        <w:tabs>
          <w:tab w:val="left" w:pos="993"/>
        </w:tabs>
        <w:spacing w:after="0" w:line="360" w:lineRule="auto"/>
        <w:ind w:firstLine="567"/>
        <w:jc w:val="both"/>
        <w:rPr>
          <w:rFonts w:ascii="Times New Roman" w:hAnsi="Times New Roman" w:cs="Times New Roman"/>
          <w:b/>
          <w:bCs/>
          <w:sz w:val="28"/>
          <w:szCs w:val="28"/>
        </w:rPr>
      </w:pPr>
      <w:r w:rsidRPr="00956CB8">
        <w:rPr>
          <w:rFonts w:ascii="Times New Roman" w:hAnsi="Times New Roman" w:cs="Times New Roman"/>
          <w:b/>
          <w:bCs/>
          <w:sz w:val="28"/>
          <w:szCs w:val="28"/>
        </w:rPr>
        <w:t>Актуальность темы диссертации</w:t>
      </w:r>
      <w:r w:rsidR="007C004C">
        <w:rPr>
          <w:rFonts w:ascii="Times New Roman" w:hAnsi="Times New Roman" w:cs="Times New Roman"/>
          <w:b/>
          <w:bCs/>
          <w:sz w:val="28"/>
          <w:szCs w:val="28"/>
        </w:rPr>
        <w:t>.</w:t>
      </w:r>
    </w:p>
    <w:p w:rsidR="00FF46DF" w:rsidRPr="00956CB8" w:rsidRDefault="00FF46DF" w:rsidP="007C004C">
      <w:pPr>
        <w:tabs>
          <w:tab w:val="left" w:pos="993"/>
        </w:tabs>
        <w:spacing w:after="0" w:line="360" w:lineRule="auto"/>
        <w:ind w:firstLine="567"/>
        <w:jc w:val="both"/>
        <w:rPr>
          <w:rFonts w:ascii="Times New Roman" w:hAnsi="Times New Roman" w:cs="Times New Roman"/>
          <w:sz w:val="28"/>
          <w:szCs w:val="28"/>
        </w:rPr>
      </w:pPr>
      <w:r w:rsidRPr="00956CB8">
        <w:rPr>
          <w:rFonts w:ascii="Times New Roman" w:hAnsi="Times New Roman" w:cs="Times New Roman"/>
          <w:sz w:val="28"/>
          <w:szCs w:val="28"/>
        </w:rPr>
        <w:t>Коронавирусная инфекция 2019 года (COVID-19) — это острое инфекционное заболевание, обладающее высокой степенью контагиозности, вызванное вирусом SARS-CoV-2 [1]. Болезнь стала глобальной эпидемиологической и медицинской проблемой, охватившей все континенты за короткий период времени. С момента первого выявления COVID-19 в декабре 2019 года в Китае [2] инфекция распространилась на миллионы людей, вызвав значительные социальные и экономические последствия, в том числе высокую смертность [3].</w:t>
      </w:r>
    </w:p>
    <w:p w:rsidR="00FF46DF" w:rsidRPr="00956CB8" w:rsidRDefault="00FF46DF" w:rsidP="007C004C">
      <w:pPr>
        <w:tabs>
          <w:tab w:val="left" w:pos="993"/>
        </w:tabs>
        <w:spacing w:after="0" w:line="360" w:lineRule="auto"/>
        <w:ind w:firstLine="567"/>
        <w:jc w:val="both"/>
        <w:rPr>
          <w:rFonts w:ascii="Times New Roman" w:hAnsi="Times New Roman" w:cs="Times New Roman"/>
          <w:sz w:val="28"/>
          <w:szCs w:val="28"/>
        </w:rPr>
      </w:pPr>
      <w:r w:rsidRPr="00956CB8">
        <w:rPr>
          <w:rFonts w:ascii="Times New Roman" w:hAnsi="Times New Roman" w:cs="Times New Roman"/>
          <w:sz w:val="28"/>
          <w:szCs w:val="28"/>
        </w:rPr>
        <w:t>Особую актуальность представляют исследования, посвященные изучению влияния климатогеографических факторов на течение и исходы COVID-19, что обусловлено различиями в механизмах адаптации организма к окружающей среде [4, 5]. Высокогорные регионы, где гипоксия и низкое атмосферное давление оказывают значительное влияние на физиологию, создают уникальные условия для изучения патогенеза инфекционных заболеваний, включая COVID-19 [6]. До настоящего времени остается недостаточно изученным влияние данных факторов на клиническое течение заболевания, а также на ключевые патогенетические механизмы, такие как цитокиновый шторм, перекисное окисление липидов и нарушения свертываемости крови</w:t>
      </w:r>
      <w:r w:rsidR="007C004C">
        <w:rPr>
          <w:rFonts w:ascii="Times New Roman" w:hAnsi="Times New Roman" w:cs="Times New Roman"/>
          <w:sz w:val="28"/>
          <w:szCs w:val="28"/>
        </w:rPr>
        <w:t xml:space="preserve">                        </w:t>
      </w:r>
      <w:r w:rsidRPr="00956CB8">
        <w:rPr>
          <w:rFonts w:ascii="Times New Roman" w:hAnsi="Times New Roman" w:cs="Times New Roman"/>
          <w:sz w:val="28"/>
          <w:szCs w:val="28"/>
        </w:rPr>
        <w:t xml:space="preserve"> [7, 8].</w:t>
      </w:r>
    </w:p>
    <w:p w:rsidR="00FF46DF" w:rsidRPr="00956CB8" w:rsidRDefault="00FF46DF" w:rsidP="007C004C">
      <w:pPr>
        <w:tabs>
          <w:tab w:val="left" w:pos="993"/>
        </w:tabs>
        <w:spacing w:after="0" w:line="360" w:lineRule="auto"/>
        <w:ind w:firstLine="567"/>
        <w:jc w:val="both"/>
        <w:rPr>
          <w:rFonts w:ascii="Times New Roman" w:hAnsi="Times New Roman" w:cs="Times New Roman"/>
          <w:sz w:val="28"/>
          <w:szCs w:val="28"/>
        </w:rPr>
      </w:pPr>
      <w:r w:rsidRPr="00956CB8">
        <w:rPr>
          <w:rFonts w:ascii="Times New Roman" w:hAnsi="Times New Roman" w:cs="Times New Roman"/>
          <w:sz w:val="28"/>
          <w:szCs w:val="28"/>
        </w:rPr>
        <w:t>Исследование данных аспектов представляется важным для разработки целевых подходов к диагностике и лечению COVID-19 в условиях высокогорья, что особенно актуально для Кыргызстана, значительная часть территории которого расположена на больших высотах над уровнем моря [9, 10].</w:t>
      </w:r>
    </w:p>
    <w:p w:rsidR="00FF46DF" w:rsidRPr="00956CB8" w:rsidRDefault="007C004C" w:rsidP="007C004C">
      <w:pPr>
        <w:tabs>
          <w:tab w:val="left" w:pos="993"/>
        </w:tabs>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b/>
          <w:spacing w:val="-6"/>
          <w:sz w:val="28"/>
          <w:szCs w:val="28"/>
        </w:rPr>
        <w:t xml:space="preserve">Связь темы диссертации с приоритетными научными направлениями, крупными научными программами (проектами), основными научно-исследовательскими работами, проводимыми образовательными и научными </w:t>
      </w:r>
      <w:r>
        <w:rPr>
          <w:rFonts w:ascii="Times New Roman" w:eastAsia="Times New Roman" w:hAnsi="Times New Roman" w:cs="Times New Roman"/>
          <w:b/>
          <w:spacing w:val="-6"/>
          <w:sz w:val="28"/>
          <w:szCs w:val="28"/>
        </w:rPr>
        <w:lastRenderedPageBreak/>
        <w:t xml:space="preserve">учреждениями. </w:t>
      </w:r>
      <w:r w:rsidR="00FF46DF" w:rsidRPr="00956CB8">
        <w:rPr>
          <w:rFonts w:ascii="Times New Roman" w:hAnsi="Times New Roman" w:cs="Times New Roman"/>
          <w:sz w:val="28"/>
          <w:szCs w:val="28"/>
        </w:rPr>
        <w:t>Настоящая работа выполнена в рамках инициативных научных исследований, соответствующих приоритетным направлениям медицинской науки, направленным на изучение патофизиологических основ инфекционных заболеваний и их терапию. Диссертация дополняет исследовательскую деятельность, проводимую на кафедре патологии Международной высшей школы медицины, и направлена на повышение качества медицинской помощи населению высокогорных регионов.</w:t>
      </w:r>
    </w:p>
    <w:p w:rsidR="00FF46DF" w:rsidRPr="00956CB8" w:rsidRDefault="00FF46DF" w:rsidP="007C004C">
      <w:pPr>
        <w:tabs>
          <w:tab w:val="left" w:pos="993"/>
        </w:tabs>
        <w:spacing w:after="0" w:line="360" w:lineRule="auto"/>
        <w:ind w:firstLine="567"/>
        <w:jc w:val="both"/>
        <w:rPr>
          <w:rFonts w:ascii="Times New Roman" w:hAnsi="Times New Roman" w:cs="Times New Roman"/>
          <w:sz w:val="28"/>
          <w:szCs w:val="28"/>
        </w:rPr>
      </w:pPr>
      <w:r w:rsidRPr="00956CB8">
        <w:rPr>
          <w:rFonts w:ascii="Times New Roman" w:hAnsi="Times New Roman" w:cs="Times New Roman"/>
          <w:b/>
          <w:bCs/>
          <w:sz w:val="28"/>
          <w:szCs w:val="28"/>
        </w:rPr>
        <w:t>Цель исследования</w:t>
      </w:r>
      <w:r w:rsidRPr="00956CB8">
        <w:rPr>
          <w:rFonts w:ascii="Times New Roman" w:hAnsi="Times New Roman" w:cs="Times New Roman"/>
          <w:sz w:val="28"/>
          <w:szCs w:val="28"/>
        </w:rPr>
        <w:t>: определить особенности эпидемиологических, клинико-лабораторных и патогенетических характеристик COVID-19 в условиях высокогорья для улучшения диагностики и терапии заболевания.</w:t>
      </w:r>
    </w:p>
    <w:p w:rsidR="00FF46DF" w:rsidRPr="00956CB8" w:rsidRDefault="00FF46DF" w:rsidP="007C004C">
      <w:pPr>
        <w:tabs>
          <w:tab w:val="left" w:pos="993"/>
        </w:tabs>
        <w:spacing w:after="0" w:line="360" w:lineRule="auto"/>
        <w:ind w:firstLine="567"/>
        <w:jc w:val="both"/>
        <w:rPr>
          <w:rFonts w:ascii="Times New Roman" w:hAnsi="Times New Roman" w:cs="Times New Roman"/>
          <w:sz w:val="28"/>
          <w:szCs w:val="28"/>
        </w:rPr>
      </w:pPr>
      <w:r w:rsidRPr="00956CB8">
        <w:rPr>
          <w:rFonts w:ascii="Times New Roman" w:hAnsi="Times New Roman" w:cs="Times New Roman"/>
          <w:b/>
          <w:bCs/>
          <w:sz w:val="28"/>
          <w:szCs w:val="28"/>
        </w:rPr>
        <w:t>Задачи исследования</w:t>
      </w:r>
      <w:r w:rsidRPr="00956CB8">
        <w:rPr>
          <w:rFonts w:ascii="Times New Roman" w:hAnsi="Times New Roman" w:cs="Times New Roman"/>
          <w:sz w:val="28"/>
          <w:szCs w:val="28"/>
        </w:rPr>
        <w:t>:</w:t>
      </w:r>
    </w:p>
    <w:p w:rsidR="00FF46DF" w:rsidRPr="00956CB8" w:rsidRDefault="00FF46DF" w:rsidP="007C004C">
      <w:pPr>
        <w:numPr>
          <w:ilvl w:val="0"/>
          <w:numId w:val="16"/>
        </w:numPr>
        <w:tabs>
          <w:tab w:val="left" w:pos="993"/>
        </w:tabs>
        <w:spacing w:after="0" w:line="360" w:lineRule="auto"/>
        <w:ind w:left="0" w:firstLine="567"/>
        <w:jc w:val="both"/>
        <w:rPr>
          <w:rFonts w:ascii="Times New Roman" w:hAnsi="Times New Roman" w:cs="Times New Roman"/>
          <w:sz w:val="28"/>
          <w:szCs w:val="28"/>
        </w:rPr>
      </w:pPr>
      <w:r w:rsidRPr="00956CB8">
        <w:rPr>
          <w:rFonts w:ascii="Times New Roman" w:hAnsi="Times New Roman" w:cs="Times New Roman"/>
          <w:sz w:val="28"/>
          <w:szCs w:val="28"/>
        </w:rPr>
        <w:t>Провести сравнительный анализ эпидемиологических и клинических проявлений COVID-19 в низко-, средне- и высокогорных регионах.</w:t>
      </w:r>
    </w:p>
    <w:p w:rsidR="00FF46DF" w:rsidRPr="00956CB8" w:rsidRDefault="00FF46DF" w:rsidP="007C004C">
      <w:pPr>
        <w:numPr>
          <w:ilvl w:val="0"/>
          <w:numId w:val="16"/>
        </w:numPr>
        <w:tabs>
          <w:tab w:val="left" w:pos="993"/>
        </w:tabs>
        <w:spacing w:after="0" w:line="360" w:lineRule="auto"/>
        <w:ind w:left="0" w:firstLine="567"/>
        <w:jc w:val="both"/>
        <w:rPr>
          <w:rFonts w:ascii="Times New Roman" w:hAnsi="Times New Roman" w:cs="Times New Roman"/>
          <w:sz w:val="28"/>
          <w:szCs w:val="28"/>
        </w:rPr>
      </w:pPr>
      <w:r w:rsidRPr="00956CB8">
        <w:rPr>
          <w:rFonts w:ascii="Times New Roman" w:hAnsi="Times New Roman" w:cs="Times New Roman"/>
          <w:sz w:val="28"/>
          <w:szCs w:val="28"/>
        </w:rPr>
        <w:t>Изучить изменения цитокинового профиля у пациентов, проживающих в различных климатогеографических условиях.</w:t>
      </w:r>
    </w:p>
    <w:p w:rsidR="00FF46DF" w:rsidRPr="00956CB8" w:rsidRDefault="00FF46DF" w:rsidP="007C004C">
      <w:pPr>
        <w:numPr>
          <w:ilvl w:val="0"/>
          <w:numId w:val="16"/>
        </w:numPr>
        <w:tabs>
          <w:tab w:val="left" w:pos="993"/>
        </w:tabs>
        <w:spacing w:after="0" w:line="360" w:lineRule="auto"/>
        <w:ind w:left="0" w:firstLine="567"/>
        <w:jc w:val="both"/>
        <w:rPr>
          <w:rFonts w:ascii="Times New Roman" w:hAnsi="Times New Roman" w:cs="Times New Roman"/>
          <w:sz w:val="28"/>
          <w:szCs w:val="28"/>
        </w:rPr>
      </w:pPr>
      <w:r w:rsidRPr="00956CB8">
        <w:rPr>
          <w:rFonts w:ascii="Times New Roman" w:hAnsi="Times New Roman" w:cs="Times New Roman"/>
          <w:sz w:val="28"/>
          <w:szCs w:val="28"/>
        </w:rPr>
        <w:t>Исследовать роль перекисного окисления липидов и нарушений ангиотензиновой системы в патогенезе COVID-19.</w:t>
      </w:r>
    </w:p>
    <w:p w:rsidR="00FF46DF" w:rsidRPr="00956CB8" w:rsidRDefault="00FF46DF" w:rsidP="007C004C">
      <w:pPr>
        <w:numPr>
          <w:ilvl w:val="0"/>
          <w:numId w:val="16"/>
        </w:numPr>
        <w:tabs>
          <w:tab w:val="left" w:pos="993"/>
        </w:tabs>
        <w:spacing w:after="0" w:line="360" w:lineRule="auto"/>
        <w:ind w:left="0" w:firstLine="567"/>
        <w:jc w:val="both"/>
        <w:rPr>
          <w:rFonts w:ascii="Times New Roman" w:hAnsi="Times New Roman" w:cs="Times New Roman"/>
          <w:sz w:val="28"/>
          <w:szCs w:val="28"/>
        </w:rPr>
      </w:pPr>
      <w:r w:rsidRPr="00956CB8">
        <w:rPr>
          <w:rFonts w:ascii="Times New Roman" w:hAnsi="Times New Roman" w:cs="Times New Roman"/>
          <w:sz w:val="28"/>
          <w:szCs w:val="28"/>
        </w:rPr>
        <w:t>Оценить нарушения системы гемостаза и электролитного обмена у пациентов с COVID-19 в условиях высокогорья.</w:t>
      </w:r>
    </w:p>
    <w:p w:rsidR="00FF46DF" w:rsidRPr="00956CB8" w:rsidRDefault="00FF46DF" w:rsidP="007C004C">
      <w:pPr>
        <w:numPr>
          <w:ilvl w:val="0"/>
          <w:numId w:val="16"/>
        </w:numPr>
        <w:tabs>
          <w:tab w:val="left" w:pos="993"/>
        </w:tabs>
        <w:spacing w:after="0" w:line="360" w:lineRule="auto"/>
        <w:ind w:left="0" w:firstLine="567"/>
        <w:jc w:val="both"/>
        <w:rPr>
          <w:rFonts w:ascii="Times New Roman" w:hAnsi="Times New Roman" w:cs="Times New Roman"/>
          <w:sz w:val="28"/>
          <w:szCs w:val="28"/>
        </w:rPr>
      </w:pPr>
      <w:r w:rsidRPr="00956CB8">
        <w:rPr>
          <w:rFonts w:ascii="Times New Roman" w:hAnsi="Times New Roman" w:cs="Times New Roman"/>
          <w:sz w:val="28"/>
          <w:szCs w:val="28"/>
        </w:rPr>
        <w:t>Изучить показатели ментального здоровья пациентов с COVID-19 и разработать подходы к их коррекции.</w:t>
      </w:r>
    </w:p>
    <w:p w:rsidR="00FF46DF" w:rsidRDefault="00FF46DF" w:rsidP="007C004C">
      <w:pPr>
        <w:tabs>
          <w:tab w:val="left" w:pos="993"/>
        </w:tabs>
        <w:spacing w:after="0" w:line="360" w:lineRule="auto"/>
        <w:ind w:firstLine="567"/>
        <w:jc w:val="both"/>
        <w:rPr>
          <w:rFonts w:ascii="Times New Roman" w:hAnsi="Times New Roman" w:cs="Times New Roman"/>
          <w:b/>
          <w:bCs/>
          <w:sz w:val="28"/>
          <w:szCs w:val="28"/>
        </w:rPr>
      </w:pPr>
      <w:r w:rsidRPr="00956CB8">
        <w:rPr>
          <w:rFonts w:ascii="Times New Roman" w:hAnsi="Times New Roman" w:cs="Times New Roman"/>
          <w:b/>
          <w:bCs/>
          <w:sz w:val="28"/>
          <w:szCs w:val="28"/>
        </w:rPr>
        <w:t>Научная новизна работы</w:t>
      </w:r>
      <w:r w:rsidR="007C004C">
        <w:rPr>
          <w:rFonts w:ascii="Times New Roman" w:hAnsi="Times New Roman" w:cs="Times New Roman"/>
          <w:b/>
          <w:bCs/>
          <w:sz w:val="28"/>
          <w:szCs w:val="28"/>
        </w:rPr>
        <w:t>.</w:t>
      </w:r>
    </w:p>
    <w:p w:rsidR="00FF46DF" w:rsidRDefault="00FF46DF" w:rsidP="007C004C">
      <w:pPr>
        <w:tabs>
          <w:tab w:val="left" w:pos="993"/>
        </w:tabs>
        <w:spacing w:after="0" w:line="360" w:lineRule="auto"/>
        <w:ind w:firstLine="567"/>
        <w:jc w:val="both"/>
        <w:rPr>
          <w:rFonts w:ascii="Times New Roman" w:hAnsi="Times New Roman" w:cs="Times New Roman"/>
          <w:sz w:val="28"/>
          <w:szCs w:val="28"/>
        </w:rPr>
      </w:pPr>
      <w:r w:rsidRPr="00956CB8">
        <w:rPr>
          <w:rFonts w:ascii="Times New Roman" w:hAnsi="Times New Roman" w:cs="Times New Roman"/>
          <w:sz w:val="28"/>
          <w:szCs w:val="28"/>
        </w:rPr>
        <w:t>Впервые проведено исследование, выявляющее влияние высокогорных климатогеографических факторов на клиническое течение COVID-19. Установлены новые механизмы, связанные с активацией ангиотензиновой системы и нарушением антиоксидантной защиты в условиях гипоксии. Получены данные, подтверждающие значимость цитокинового профиля и нарушений свертываемости крови как диагностических и прогностических маркеров тяжести течения заболевания в высокогорных регионах.</w:t>
      </w:r>
    </w:p>
    <w:p w:rsidR="007C004C" w:rsidRDefault="007C004C" w:rsidP="007C004C">
      <w:pPr>
        <w:tabs>
          <w:tab w:val="left" w:pos="993"/>
        </w:tabs>
        <w:spacing w:after="0" w:line="360" w:lineRule="auto"/>
        <w:ind w:firstLine="567"/>
        <w:jc w:val="both"/>
        <w:rPr>
          <w:rFonts w:ascii="Times New Roman" w:hAnsi="Times New Roman" w:cs="Times New Roman"/>
          <w:b/>
          <w:bCs/>
          <w:sz w:val="28"/>
          <w:szCs w:val="28"/>
        </w:rPr>
      </w:pPr>
    </w:p>
    <w:p w:rsidR="007C004C" w:rsidRDefault="007C004C" w:rsidP="007C004C">
      <w:pPr>
        <w:tabs>
          <w:tab w:val="left" w:pos="993"/>
        </w:tabs>
        <w:spacing w:after="0" w:line="360" w:lineRule="auto"/>
        <w:ind w:firstLine="567"/>
        <w:jc w:val="both"/>
        <w:rPr>
          <w:rFonts w:ascii="Times New Roman" w:hAnsi="Times New Roman" w:cs="Times New Roman"/>
          <w:b/>
          <w:bCs/>
          <w:sz w:val="28"/>
          <w:szCs w:val="28"/>
        </w:rPr>
      </w:pPr>
    </w:p>
    <w:p w:rsidR="00FF46DF" w:rsidRDefault="00FF46DF" w:rsidP="007C004C">
      <w:pPr>
        <w:tabs>
          <w:tab w:val="left" w:pos="993"/>
        </w:tabs>
        <w:spacing w:after="0" w:line="360" w:lineRule="auto"/>
        <w:ind w:firstLine="567"/>
        <w:jc w:val="both"/>
        <w:rPr>
          <w:rFonts w:ascii="Times New Roman" w:hAnsi="Times New Roman" w:cs="Times New Roman"/>
          <w:b/>
          <w:bCs/>
          <w:sz w:val="28"/>
          <w:szCs w:val="28"/>
        </w:rPr>
      </w:pPr>
      <w:r w:rsidRPr="00956CB8">
        <w:rPr>
          <w:rFonts w:ascii="Times New Roman" w:hAnsi="Times New Roman" w:cs="Times New Roman"/>
          <w:b/>
          <w:bCs/>
          <w:sz w:val="28"/>
          <w:szCs w:val="28"/>
        </w:rPr>
        <w:t>Практическая значимость полученных результатов</w:t>
      </w:r>
      <w:r w:rsidR="007C004C">
        <w:rPr>
          <w:rFonts w:ascii="Times New Roman" w:hAnsi="Times New Roman" w:cs="Times New Roman"/>
          <w:b/>
          <w:bCs/>
          <w:sz w:val="28"/>
          <w:szCs w:val="28"/>
        </w:rPr>
        <w:t>.</w:t>
      </w:r>
    </w:p>
    <w:p w:rsidR="00FF46DF" w:rsidRPr="00956CB8" w:rsidRDefault="00FF46DF" w:rsidP="007C004C">
      <w:pPr>
        <w:tabs>
          <w:tab w:val="left" w:pos="993"/>
        </w:tabs>
        <w:spacing w:after="0" w:line="360" w:lineRule="auto"/>
        <w:ind w:firstLine="567"/>
        <w:jc w:val="both"/>
        <w:rPr>
          <w:rFonts w:ascii="Times New Roman" w:hAnsi="Times New Roman" w:cs="Times New Roman"/>
          <w:sz w:val="28"/>
          <w:szCs w:val="28"/>
        </w:rPr>
      </w:pPr>
      <w:r w:rsidRPr="00956CB8">
        <w:rPr>
          <w:rFonts w:ascii="Times New Roman" w:hAnsi="Times New Roman" w:cs="Times New Roman"/>
          <w:sz w:val="28"/>
          <w:szCs w:val="28"/>
        </w:rPr>
        <w:t>На основании проведенного исследования разработаны рекомендации по диагностике и лечению COVID-19 в условиях высокогорья, включая адаптацию протоколов антикоагулянтной терапии, корректировку электролитного обмена и введение дополнительных мер по поддержанию ментального здоровья. Результаты работы интегрированы в учебный процесс и практическую деятельность медицинских учреждений Кыргызской Республики.</w:t>
      </w:r>
    </w:p>
    <w:p w:rsidR="00FF46DF" w:rsidRDefault="00FF46DF" w:rsidP="007C004C">
      <w:pPr>
        <w:tabs>
          <w:tab w:val="left" w:pos="993"/>
        </w:tabs>
        <w:spacing w:after="0" w:line="360" w:lineRule="auto"/>
        <w:ind w:firstLine="567"/>
        <w:jc w:val="both"/>
        <w:rPr>
          <w:rFonts w:ascii="Times New Roman" w:hAnsi="Times New Roman" w:cs="Times New Roman"/>
          <w:b/>
          <w:bCs/>
          <w:sz w:val="28"/>
          <w:szCs w:val="28"/>
        </w:rPr>
      </w:pPr>
      <w:r w:rsidRPr="00956CB8">
        <w:rPr>
          <w:rFonts w:ascii="Times New Roman" w:hAnsi="Times New Roman" w:cs="Times New Roman"/>
          <w:b/>
          <w:bCs/>
          <w:sz w:val="28"/>
          <w:szCs w:val="28"/>
        </w:rPr>
        <w:t>Экономическая значимость</w:t>
      </w:r>
    </w:p>
    <w:p w:rsidR="00FF46DF" w:rsidRPr="00956CB8" w:rsidRDefault="00FF46DF" w:rsidP="007C004C">
      <w:pPr>
        <w:tabs>
          <w:tab w:val="left" w:pos="993"/>
        </w:tabs>
        <w:spacing w:after="0" w:line="360" w:lineRule="auto"/>
        <w:ind w:firstLine="567"/>
        <w:jc w:val="both"/>
        <w:rPr>
          <w:rFonts w:ascii="Times New Roman" w:hAnsi="Times New Roman" w:cs="Times New Roman"/>
          <w:sz w:val="28"/>
          <w:szCs w:val="28"/>
        </w:rPr>
      </w:pPr>
      <w:r w:rsidRPr="00956CB8">
        <w:rPr>
          <w:rFonts w:ascii="Times New Roman" w:hAnsi="Times New Roman" w:cs="Times New Roman"/>
          <w:sz w:val="28"/>
          <w:szCs w:val="28"/>
        </w:rPr>
        <w:t>Внедрение результатов исследования в клиническую практику позволит снизить смертность, сократить длительность госпитализации и предотвратить развитие осложнений, что приведет к значительной экономии ресурсов здравоохранения. Разработанные подходы к коррекции состояния пациентов в высокогорных условиях также могут быть использованы в других странах, имеющих схожие климатические условия.</w:t>
      </w:r>
    </w:p>
    <w:p w:rsidR="00FF46DF" w:rsidRPr="00956CB8" w:rsidRDefault="00FF46DF" w:rsidP="007C004C">
      <w:pPr>
        <w:tabs>
          <w:tab w:val="left" w:pos="993"/>
        </w:tabs>
        <w:spacing w:after="0" w:line="360" w:lineRule="auto"/>
        <w:ind w:firstLine="567"/>
        <w:jc w:val="both"/>
        <w:rPr>
          <w:rFonts w:ascii="Times New Roman" w:hAnsi="Times New Roman" w:cs="Times New Roman"/>
          <w:sz w:val="28"/>
          <w:szCs w:val="28"/>
        </w:rPr>
      </w:pPr>
      <w:r w:rsidRPr="00956CB8">
        <w:rPr>
          <w:rFonts w:ascii="Times New Roman" w:hAnsi="Times New Roman" w:cs="Times New Roman"/>
          <w:b/>
          <w:bCs/>
          <w:sz w:val="28"/>
          <w:szCs w:val="28"/>
        </w:rPr>
        <w:t>Основные положения, выносимые на защиту</w:t>
      </w:r>
      <w:r w:rsidR="007C004C">
        <w:rPr>
          <w:rFonts w:ascii="Times New Roman" w:hAnsi="Times New Roman" w:cs="Times New Roman"/>
          <w:b/>
          <w:bCs/>
          <w:sz w:val="28"/>
          <w:szCs w:val="28"/>
        </w:rPr>
        <w:t>:</w:t>
      </w:r>
    </w:p>
    <w:p w:rsidR="00FF46DF" w:rsidRPr="00956CB8" w:rsidRDefault="00FF46DF" w:rsidP="007C004C">
      <w:pPr>
        <w:numPr>
          <w:ilvl w:val="0"/>
          <w:numId w:val="17"/>
        </w:numPr>
        <w:tabs>
          <w:tab w:val="left" w:pos="993"/>
        </w:tabs>
        <w:spacing w:after="0" w:line="360" w:lineRule="auto"/>
        <w:ind w:left="0" w:firstLine="567"/>
        <w:jc w:val="both"/>
        <w:rPr>
          <w:rFonts w:ascii="Times New Roman" w:hAnsi="Times New Roman" w:cs="Times New Roman"/>
          <w:sz w:val="28"/>
          <w:szCs w:val="28"/>
        </w:rPr>
      </w:pPr>
      <w:r w:rsidRPr="00956CB8">
        <w:rPr>
          <w:rFonts w:ascii="Times New Roman" w:hAnsi="Times New Roman" w:cs="Times New Roman"/>
          <w:sz w:val="28"/>
          <w:szCs w:val="28"/>
        </w:rPr>
        <w:t>Клинические и лабораторные особенности течения COVID-19 в условиях высокогорья, включая изменения свертываемости крови, гипоксические реакции и электролитный дисбаланс.</w:t>
      </w:r>
    </w:p>
    <w:p w:rsidR="00FF46DF" w:rsidRPr="00956CB8" w:rsidRDefault="00FF46DF" w:rsidP="007C004C">
      <w:pPr>
        <w:numPr>
          <w:ilvl w:val="0"/>
          <w:numId w:val="17"/>
        </w:numPr>
        <w:tabs>
          <w:tab w:val="left" w:pos="993"/>
        </w:tabs>
        <w:spacing w:after="0" w:line="360" w:lineRule="auto"/>
        <w:ind w:left="0" w:firstLine="567"/>
        <w:jc w:val="both"/>
        <w:rPr>
          <w:rFonts w:ascii="Times New Roman" w:hAnsi="Times New Roman" w:cs="Times New Roman"/>
          <w:sz w:val="28"/>
          <w:szCs w:val="28"/>
        </w:rPr>
      </w:pPr>
      <w:r w:rsidRPr="00956CB8">
        <w:rPr>
          <w:rFonts w:ascii="Times New Roman" w:hAnsi="Times New Roman" w:cs="Times New Roman"/>
          <w:sz w:val="28"/>
          <w:szCs w:val="28"/>
        </w:rPr>
        <w:t>Роль ангиотензин-превращающего фермента 2-го типа (ACE2) и активации ангиотензиновой системы в развитии осложнений COVID-19.</w:t>
      </w:r>
    </w:p>
    <w:p w:rsidR="00FF46DF" w:rsidRPr="00956CB8" w:rsidRDefault="00FF46DF" w:rsidP="007C004C">
      <w:pPr>
        <w:numPr>
          <w:ilvl w:val="0"/>
          <w:numId w:val="17"/>
        </w:numPr>
        <w:tabs>
          <w:tab w:val="left" w:pos="993"/>
        </w:tabs>
        <w:spacing w:after="0" w:line="360" w:lineRule="auto"/>
        <w:ind w:left="0" w:firstLine="567"/>
        <w:jc w:val="both"/>
        <w:rPr>
          <w:rFonts w:ascii="Times New Roman" w:hAnsi="Times New Roman" w:cs="Times New Roman"/>
          <w:sz w:val="28"/>
          <w:szCs w:val="28"/>
        </w:rPr>
      </w:pPr>
      <w:r w:rsidRPr="00956CB8">
        <w:rPr>
          <w:rFonts w:ascii="Times New Roman" w:hAnsi="Times New Roman" w:cs="Times New Roman"/>
          <w:sz w:val="28"/>
          <w:szCs w:val="28"/>
        </w:rPr>
        <w:t>Значимость цитокинового профиля и перекисного окисления липидов как предикторов тяжести течения COVID-19.</w:t>
      </w:r>
    </w:p>
    <w:p w:rsidR="00FF46DF" w:rsidRPr="00956CB8" w:rsidRDefault="00FF46DF" w:rsidP="007C004C">
      <w:pPr>
        <w:numPr>
          <w:ilvl w:val="0"/>
          <w:numId w:val="17"/>
        </w:numPr>
        <w:tabs>
          <w:tab w:val="left" w:pos="993"/>
        </w:tabs>
        <w:spacing w:after="0" w:line="360" w:lineRule="auto"/>
        <w:ind w:left="0" w:firstLine="567"/>
        <w:jc w:val="both"/>
        <w:rPr>
          <w:rFonts w:ascii="Times New Roman" w:hAnsi="Times New Roman" w:cs="Times New Roman"/>
          <w:sz w:val="28"/>
          <w:szCs w:val="28"/>
        </w:rPr>
      </w:pPr>
      <w:r w:rsidRPr="00956CB8">
        <w:rPr>
          <w:rFonts w:ascii="Times New Roman" w:hAnsi="Times New Roman" w:cs="Times New Roman"/>
          <w:sz w:val="28"/>
          <w:szCs w:val="28"/>
        </w:rPr>
        <w:t>Рекомендации по коррекции ментального здоровья и психоэмоционального состояния пациентов с COVID-19 в условиях высокогорья.</w:t>
      </w:r>
    </w:p>
    <w:p w:rsidR="00FF46DF" w:rsidRDefault="00FF46DF" w:rsidP="007C004C">
      <w:pPr>
        <w:tabs>
          <w:tab w:val="left" w:pos="993"/>
        </w:tabs>
        <w:spacing w:after="0" w:line="360" w:lineRule="auto"/>
        <w:ind w:firstLine="567"/>
        <w:jc w:val="both"/>
        <w:rPr>
          <w:rFonts w:ascii="Times New Roman" w:hAnsi="Times New Roman" w:cs="Times New Roman"/>
          <w:b/>
          <w:bCs/>
          <w:sz w:val="28"/>
          <w:szCs w:val="28"/>
        </w:rPr>
      </w:pPr>
      <w:r w:rsidRPr="00956CB8">
        <w:rPr>
          <w:rFonts w:ascii="Times New Roman" w:hAnsi="Times New Roman" w:cs="Times New Roman"/>
          <w:b/>
          <w:bCs/>
          <w:sz w:val="28"/>
          <w:szCs w:val="28"/>
        </w:rPr>
        <w:t>Личный вклад соискателя</w:t>
      </w:r>
      <w:r w:rsidR="007C004C">
        <w:rPr>
          <w:rFonts w:ascii="Times New Roman" w:hAnsi="Times New Roman" w:cs="Times New Roman"/>
          <w:b/>
          <w:bCs/>
          <w:sz w:val="28"/>
          <w:szCs w:val="28"/>
        </w:rPr>
        <w:t>.</w:t>
      </w:r>
    </w:p>
    <w:p w:rsidR="00FF46DF" w:rsidRPr="00956CB8" w:rsidRDefault="00FF46DF" w:rsidP="007C004C">
      <w:pPr>
        <w:tabs>
          <w:tab w:val="left" w:pos="993"/>
        </w:tabs>
        <w:spacing w:after="0" w:line="360" w:lineRule="auto"/>
        <w:ind w:firstLine="567"/>
        <w:jc w:val="both"/>
        <w:rPr>
          <w:rFonts w:ascii="Times New Roman" w:hAnsi="Times New Roman" w:cs="Times New Roman"/>
          <w:sz w:val="28"/>
          <w:szCs w:val="28"/>
        </w:rPr>
      </w:pPr>
      <w:r w:rsidRPr="00956CB8">
        <w:rPr>
          <w:rFonts w:ascii="Times New Roman" w:hAnsi="Times New Roman" w:cs="Times New Roman"/>
          <w:sz w:val="28"/>
          <w:szCs w:val="28"/>
        </w:rPr>
        <w:t xml:space="preserve">Автором лично разработаны план и методология исследования, выполнен сбор и анализ клинических и лабораторных данных, проведена статистическая обработка результатов, подготовлены материалы для публикации. Все этапы </w:t>
      </w:r>
      <w:r w:rsidRPr="00956CB8">
        <w:rPr>
          <w:rFonts w:ascii="Times New Roman" w:hAnsi="Times New Roman" w:cs="Times New Roman"/>
          <w:sz w:val="28"/>
          <w:szCs w:val="28"/>
        </w:rPr>
        <w:lastRenderedPageBreak/>
        <w:t>работы, включая интерпретацию результатов и формулировку выводов, выполнены автором самостоятельно.</w:t>
      </w:r>
    </w:p>
    <w:p w:rsidR="00FF46DF" w:rsidRDefault="00FF46DF" w:rsidP="007C004C">
      <w:pPr>
        <w:tabs>
          <w:tab w:val="left" w:pos="993"/>
        </w:tabs>
        <w:spacing w:after="0" w:line="360" w:lineRule="auto"/>
        <w:ind w:firstLine="567"/>
        <w:jc w:val="both"/>
        <w:rPr>
          <w:rFonts w:ascii="Times New Roman" w:hAnsi="Times New Roman" w:cs="Times New Roman"/>
          <w:b/>
          <w:bCs/>
          <w:sz w:val="28"/>
          <w:szCs w:val="28"/>
        </w:rPr>
      </w:pPr>
      <w:r w:rsidRPr="00956CB8">
        <w:rPr>
          <w:rFonts w:ascii="Times New Roman" w:hAnsi="Times New Roman" w:cs="Times New Roman"/>
          <w:b/>
          <w:bCs/>
          <w:sz w:val="28"/>
          <w:szCs w:val="28"/>
        </w:rPr>
        <w:t>Апробация результатов исследования</w:t>
      </w:r>
      <w:r w:rsidR="00454AF9">
        <w:rPr>
          <w:rFonts w:ascii="Times New Roman" w:hAnsi="Times New Roman" w:cs="Times New Roman"/>
          <w:b/>
          <w:bCs/>
          <w:sz w:val="28"/>
          <w:szCs w:val="28"/>
        </w:rPr>
        <w:t>.</w:t>
      </w:r>
    </w:p>
    <w:p w:rsidR="00FF46DF" w:rsidRDefault="00FF46DF" w:rsidP="007C004C">
      <w:pPr>
        <w:tabs>
          <w:tab w:val="left" w:pos="993"/>
        </w:tabs>
        <w:spacing w:after="0" w:line="360" w:lineRule="auto"/>
        <w:ind w:firstLine="567"/>
        <w:jc w:val="both"/>
        <w:rPr>
          <w:rFonts w:ascii="Times New Roman" w:hAnsi="Times New Roman" w:cs="Times New Roman"/>
          <w:sz w:val="28"/>
          <w:szCs w:val="28"/>
        </w:rPr>
      </w:pPr>
      <w:r w:rsidRPr="00956CB8">
        <w:rPr>
          <w:rFonts w:ascii="Times New Roman" w:hAnsi="Times New Roman" w:cs="Times New Roman"/>
          <w:sz w:val="28"/>
          <w:szCs w:val="28"/>
        </w:rPr>
        <w:t>Результаты исследования представлены на III Форуме ученых СНГ (Минск, 2021), международной конференции «Инновации в медицинской науке» (Ош, 2022), VI научно-практической конференции, посвященной 20-летию Международной высшей школы медицины (Бишкек, 2023).</w:t>
      </w:r>
    </w:p>
    <w:p w:rsidR="00FF46DF" w:rsidRPr="00956CB8" w:rsidRDefault="00FF46DF" w:rsidP="007C004C">
      <w:pPr>
        <w:tabs>
          <w:tab w:val="left" w:pos="993"/>
        </w:tabs>
        <w:spacing w:after="0" w:line="360" w:lineRule="auto"/>
        <w:ind w:firstLine="567"/>
        <w:jc w:val="both"/>
        <w:rPr>
          <w:rFonts w:ascii="Times New Roman" w:hAnsi="Times New Roman" w:cs="Times New Roman"/>
          <w:b/>
          <w:sz w:val="28"/>
          <w:szCs w:val="28"/>
        </w:rPr>
      </w:pPr>
      <w:r w:rsidRPr="00956CB8">
        <w:rPr>
          <w:rFonts w:ascii="Times New Roman" w:hAnsi="Times New Roman" w:cs="Times New Roman"/>
          <w:b/>
          <w:sz w:val="28"/>
          <w:szCs w:val="28"/>
        </w:rPr>
        <w:t>Полнота отражения результатов диссертации в публикациях</w:t>
      </w:r>
      <w:r w:rsidR="007C004C">
        <w:rPr>
          <w:rFonts w:ascii="Times New Roman" w:hAnsi="Times New Roman" w:cs="Times New Roman"/>
          <w:b/>
          <w:sz w:val="28"/>
          <w:szCs w:val="28"/>
        </w:rPr>
        <w:t>.</w:t>
      </w:r>
    </w:p>
    <w:p w:rsidR="00FF46DF" w:rsidRPr="00956CB8" w:rsidRDefault="00FF46DF" w:rsidP="007C004C">
      <w:pPr>
        <w:tabs>
          <w:tab w:val="left" w:pos="993"/>
        </w:tabs>
        <w:spacing w:after="0" w:line="360" w:lineRule="auto"/>
        <w:ind w:firstLine="567"/>
        <w:jc w:val="both"/>
        <w:rPr>
          <w:rFonts w:ascii="Times New Roman" w:hAnsi="Times New Roman" w:cs="Times New Roman"/>
          <w:sz w:val="28"/>
          <w:szCs w:val="28"/>
        </w:rPr>
      </w:pPr>
      <w:r w:rsidRPr="00956CB8">
        <w:rPr>
          <w:rFonts w:ascii="Times New Roman" w:hAnsi="Times New Roman" w:cs="Times New Roman"/>
          <w:sz w:val="28"/>
          <w:szCs w:val="28"/>
        </w:rPr>
        <w:t xml:space="preserve">По теме диссертации опубликовано 9 печатных работ, из них 1 в изданиях, рекомендованных НАК ПКР, 5 – в зарубежных изданиях, индексируемых системой РИНЦ, 1 - в зарубежных изданиях, индексируемых системой </w:t>
      </w:r>
      <w:r w:rsidRPr="00956CB8">
        <w:rPr>
          <w:rFonts w:ascii="Times New Roman" w:hAnsi="Times New Roman" w:cs="Times New Roman"/>
          <w:sz w:val="28"/>
          <w:szCs w:val="28"/>
          <w:lang w:val="en-US"/>
        </w:rPr>
        <w:t>Scopus</w:t>
      </w:r>
      <w:r w:rsidRPr="00956CB8">
        <w:rPr>
          <w:rFonts w:ascii="Times New Roman" w:hAnsi="Times New Roman" w:cs="Times New Roman"/>
          <w:sz w:val="28"/>
          <w:szCs w:val="28"/>
        </w:rPr>
        <w:t>, 1- патент на полезную модель выданный Кыргыз Патентом и 1 – авторское свидетельство, выданный Кыргыз Патентом.</w:t>
      </w:r>
    </w:p>
    <w:p w:rsidR="00FF46DF" w:rsidRPr="00956CB8" w:rsidRDefault="00FF46DF" w:rsidP="007C004C">
      <w:pPr>
        <w:tabs>
          <w:tab w:val="left" w:pos="993"/>
        </w:tabs>
        <w:spacing w:after="0" w:line="360" w:lineRule="auto"/>
        <w:ind w:firstLine="567"/>
        <w:jc w:val="both"/>
        <w:rPr>
          <w:rFonts w:ascii="Times New Roman" w:hAnsi="Times New Roman" w:cs="Times New Roman"/>
          <w:b/>
          <w:sz w:val="28"/>
          <w:szCs w:val="28"/>
        </w:rPr>
      </w:pPr>
      <w:r w:rsidRPr="00956CB8">
        <w:rPr>
          <w:rFonts w:ascii="Times New Roman" w:hAnsi="Times New Roman" w:cs="Times New Roman"/>
          <w:b/>
          <w:sz w:val="28"/>
          <w:szCs w:val="28"/>
        </w:rPr>
        <w:t xml:space="preserve">Структура и объем диссертации. </w:t>
      </w:r>
    </w:p>
    <w:p w:rsidR="00FF46DF" w:rsidRPr="00956CB8" w:rsidRDefault="00FF46DF" w:rsidP="007C004C">
      <w:pPr>
        <w:tabs>
          <w:tab w:val="left" w:pos="993"/>
        </w:tabs>
        <w:spacing w:after="0" w:line="360" w:lineRule="auto"/>
        <w:ind w:firstLine="567"/>
        <w:jc w:val="both"/>
        <w:rPr>
          <w:rFonts w:ascii="Times New Roman" w:hAnsi="Times New Roman" w:cs="Times New Roman"/>
          <w:sz w:val="28"/>
          <w:szCs w:val="28"/>
        </w:rPr>
      </w:pPr>
      <w:r w:rsidRPr="00956CB8">
        <w:rPr>
          <w:rFonts w:ascii="Times New Roman" w:hAnsi="Times New Roman" w:cs="Times New Roman"/>
          <w:sz w:val="28"/>
          <w:szCs w:val="28"/>
        </w:rPr>
        <w:t>Диссертационная работа состоит из введения, обзора литературы, главы материал и методы исследования, 3 глав и 2 подглав собственных исследований, обсуждения результатов исследования, выводов, практических рекомендаций и указателя литерат</w:t>
      </w:r>
      <w:r w:rsidR="00573AD8">
        <w:rPr>
          <w:rFonts w:ascii="Times New Roman" w:hAnsi="Times New Roman" w:cs="Times New Roman"/>
          <w:sz w:val="28"/>
          <w:szCs w:val="28"/>
        </w:rPr>
        <w:t>уры. Диссертация изложена на 133</w:t>
      </w:r>
      <w:r w:rsidRPr="00956CB8">
        <w:rPr>
          <w:rFonts w:ascii="Times New Roman" w:hAnsi="Times New Roman" w:cs="Times New Roman"/>
          <w:sz w:val="28"/>
          <w:szCs w:val="28"/>
        </w:rPr>
        <w:t xml:space="preserve"> страницах компьютерного набора на русском языке. Работа иллюстрирована 19 таблицами и 33 рисунками. Указатель литературы включает 220 источников.</w:t>
      </w:r>
    </w:p>
    <w:p w:rsidR="00FF46DF" w:rsidRPr="00956CB8" w:rsidRDefault="00FF46DF" w:rsidP="00FF46DF">
      <w:pPr>
        <w:spacing w:after="0" w:line="360" w:lineRule="auto"/>
        <w:ind w:firstLine="709"/>
        <w:jc w:val="both"/>
        <w:rPr>
          <w:rFonts w:ascii="Times New Roman" w:hAnsi="Times New Roman" w:cs="Times New Roman"/>
          <w:sz w:val="28"/>
          <w:szCs w:val="28"/>
        </w:rPr>
      </w:pPr>
    </w:p>
    <w:p w:rsidR="00FF46DF" w:rsidRDefault="00FF46DF" w:rsidP="00FF46DF">
      <w:pPr>
        <w:spacing w:after="0" w:line="360" w:lineRule="auto"/>
        <w:ind w:firstLine="709"/>
        <w:jc w:val="both"/>
        <w:rPr>
          <w:rFonts w:ascii="Times New Roman" w:hAnsi="Times New Roman" w:cs="Times New Roman"/>
          <w:sz w:val="28"/>
          <w:szCs w:val="28"/>
        </w:rPr>
      </w:pPr>
    </w:p>
    <w:p w:rsidR="007C004C" w:rsidRDefault="007C004C" w:rsidP="00FF46DF">
      <w:pPr>
        <w:spacing w:after="0" w:line="360" w:lineRule="auto"/>
        <w:ind w:firstLine="709"/>
        <w:jc w:val="both"/>
        <w:rPr>
          <w:rFonts w:ascii="Times New Roman" w:hAnsi="Times New Roman" w:cs="Times New Roman"/>
          <w:sz w:val="28"/>
          <w:szCs w:val="28"/>
        </w:rPr>
      </w:pPr>
    </w:p>
    <w:p w:rsidR="007C004C" w:rsidRDefault="007C004C" w:rsidP="00FF46DF">
      <w:pPr>
        <w:spacing w:after="0" w:line="360" w:lineRule="auto"/>
        <w:ind w:firstLine="709"/>
        <w:jc w:val="both"/>
        <w:rPr>
          <w:rFonts w:ascii="Times New Roman" w:hAnsi="Times New Roman" w:cs="Times New Roman"/>
          <w:sz w:val="28"/>
          <w:szCs w:val="28"/>
        </w:rPr>
      </w:pPr>
    </w:p>
    <w:p w:rsidR="007C004C" w:rsidRDefault="007C004C" w:rsidP="00FF46DF">
      <w:pPr>
        <w:spacing w:after="0" w:line="360" w:lineRule="auto"/>
        <w:ind w:firstLine="709"/>
        <w:jc w:val="both"/>
        <w:rPr>
          <w:rFonts w:ascii="Times New Roman" w:hAnsi="Times New Roman" w:cs="Times New Roman"/>
          <w:sz w:val="28"/>
          <w:szCs w:val="28"/>
        </w:rPr>
      </w:pPr>
    </w:p>
    <w:p w:rsidR="007C004C" w:rsidRDefault="007C004C" w:rsidP="00FF46DF">
      <w:pPr>
        <w:spacing w:after="0" w:line="360" w:lineRule="auto"/>
        <w:ind w:firstLine="709"/>
        <w:jc w:val="both"/>
        <w:rPr>
          <w:rFonts w:ascii="Times New Roman" w:hAnsi="Times New Roman" w:cs="Times New Roman"/>
          <w:sz w:val="28"/>
          <w:szCs w:val="28"/>
        </w:rPr>
      </w:pPr>
    </w:p>
    <w:p w:rsidR="007C004C" w:rsidRDefault="007C004C" w:rsidP="00FF46DF">
      <w:pPr>
        <w:spacing w:after="0" w:line="360" w:lineRule="auto"/>
        <w:ind w:firstLine="709"/>
        <w:jc w:val="both"/>
        <w:rPr>
          <w:rFonts w:ascii="Times New Roman" w:hAnsi="Times New Roman" w:cs="Times New Roman"/>
          <w:sz w:val="28"/>
          <w:szCs w:val="28"/>
        </w:rPr>
      </w:pPr>
    </w:p>
    <w:p w:rsidR="007C004C" w:rsidRDefault="007C004C" w:rsidP="00FF46DF">
      <w:pPr>
        <w:spacing w:after="0" w:line="360" w:lineRule="auto"/>
        <w:ind w:firstLine="709"/>
        <w:jc w:val="both"/>
        <w:rPr>
          <w:rFonts w:ascii="Times New Roman" w:hAnsi="Times New Roman" w:cs="Times New Roman"/>
          <w:sz w:val="28"/>
          <w:szCs w:val="28"/>
        </w:rPr>
      </w:pPr>
    </w:p>
    <w:p w:rsidR="007C004C" w:rsidRDefault="007C004C" w:rsidP="00FF46DF">
      <w:pPr>
        <w:spacing w:after="0" w:line="360" w:lineRule="auto"/>
        <w:ind w:firstLine="709"/>
        <w:jc w:val="both"/>
        <w:rPr>
          <w:rFonts w:ascii="Times New Roman" w:hAnsi="Times New Roman" w:cs="Times New Roman"/>
          <w:sz w:val="28"/>
          <w:szCs w:val="28"/>
        </w:rPr>
      </w:pPr>
    </w:p>
    <w:p w:rsidR="007C004C" w:rsidRDefault="007C004C" w:rsidP="00FF46DF">
      <w:pPr>
        <w:spacing w:after="0" w:line="360" w:lineRule="auto"/>
        <w:ind w:firstLine="709"/>
        <w:jc w:val="both"/>
        <w:rPr>
          <w:rFonts w:ascii="Times New Roman" w:hAnsi="Times New Roman" w:cs="Times New Roman"/>
          <w:sz w:val="28"/>
          <w:szCs w:val="28"/>
        </w:rPr>
      </w:pPr>
    </w:p>
    <w:p w:rsidR="00537DDE" w:rsidRPr="00454AF9" w:rsidRDefault="00537DDE" w:rsidP="007C004C">
      <w:pPr>
        <w:spacing w:line="360" w:lineRule="auto"/>
        <w:jc w:val="center"/>
        <w:rPr>
          <w:rFonts w:ascii="Times New Roman" w:eastAsia="Calibri" w:hAnsi="Times New Roman" w:cs="Times New Roman"/>
          <w:b/>
          <w:sz w:val="32"/>
          <w:szCs w:val="28"/>
        </w:rPr>
      </w:pPr>
      <w:r w:rsidRPr="00454AF9">
        <w:rPr>
          <w:rFonts w:ascii="Times New Roman" w:eastAsia="Calibri" w:hAnsi="Times New Roman" w:cs="Times New Roman"/>
          <w:b/>
          <w:sz w:val="32"/>
          <w:szCs w:val="28"/>
        </w:rPr>
        <w:lastRenderedPageBreak/>
        <w:t xml:space="preserve">ГЛАВА 1. </w:t>
      </w:r>
    </w:p>
    <w:p w:rsidR="007C004C" w:rsidRPr="00454AF9" w:rsidRDefault="007C004C" w:rsidP="007C004C">
      <w:pPr>
        <w:spacing w:line="360" w:lineRule="auto"/>
        <w:jc w:val="center"/>
        <w:rPr>
          <w:rFonts w:ascii="Times New Roman" w:eastAsia="Calibri" w:hAnsi="Times New Roman" w:cs="Times New Roman"/>
          <w:b/>
          <w:sz w:val="32"/>
          <w:szCs w:val="28"/>
        </w:rPr>
      </w:pPr>
    </w:p>
    <w:p w:rsidR="00537DDE" w:rsidRPr="00454AF9" w:rsidRDefault="00537DDE" w:rsidP="007C004C">
      <w:pPr>
        <w:spacing w:after="0" w:line="360" w:lineRule="auto"/>
        <w:jc w:val="center"/>
        <w:rPr>
          <w:rFonts w:ascii="Times New Roman" w:eastAsia="Calibri" w:hAnsi="Times New Roman" w:cs="Times New Roman"/>
          <w:b/>
          <w:sz w:val="32"/>
          <w:szCs w:val="28"/>
        </w:rPr>
      </w:pPr>
      <w:r w:rsidRPr="00454AF9">
        <w:rPr>
          <w:rFonts w:ascii="Times New Roman" w:eastAsia="Calibri" w:hAnsi="Times New Roman" w:cs="Times New Roman"/>
          <w:b/>
          <w:sz w:val="32"/>
          <w:szCs w:val="28"/>
        </w:rPr>
        <w:t>ОБЗОР ЛИТЕРАТУРЫ</w:t>
      </w:r>
      <w:r w:rsidR="007C004C" w:rsidRPr="00454AF9">
        <w:rPr>
          <w:rFonts w:ascii="Times New Roman" w:eastAsia="Calibri" w:hAnsi="Times New Roman" w:cs="Times New Roman"/>
          <w:b/>
          <w:sz w:val="32"/>
          <w:szCs w:val="28"/>
        </w:rPr>
        <w:t>.</w:t>
      </w:r>
    </w:p>
    <w:p w:rsidR="00537DDE" w:rsidRPr="00454AF9" w:rsidRDefault="007C004C" w:rsidP="00537DDE">
      <w:pPr>
        <w:spacing w:after="0" w:line="360" w:lineRule="auto"/>
        <w:ind w:firstLine="851"/>
        <w:jc w:val="center"/>
        <w:rPr>
          <w:rFonts w:ascii="Times New Roman" w:eastAsia="Calibri" w:hAnsi="Times New Roman" w:cs="Times New Roman"/>
          <w:b/>
          <w:sz w:val="32"/>
          <w:szCs w:val="28"/>
        </w:rPr>
      </w:pPr>
      <w:r w:rsidRPr="00454AF9">
        <w:rPr>
          <w:rFonts w:ascii="Times New Roman" w:eastAsia="Calibri" w:hAnsi="Times New Roman" w:cs="Times New Roman"/>
          <w:b/>
          <w:sz w:val="32"/>
          <w:szCs w:val="28"/>
        </w:rPr>
        <w:t xml:space="preserve">СОВРЕМЕННЫЕ ПРЕДСТАВЛЕНИЯ ОБ ЭПИДЕМИОЛОГИИ, КЛИНИКО-ПАТОГЕНЕЗУ, ИММУНОПАТОЛОГИИ, ДОПОЛНИТЕЛЬНЫХ ФАКТОРАХ ПОДДЕРЖАНИЯ ВОСПАЛЕНИЯ, ДИАГНОСТИКЕ, ЛЕЧЕНИЮ </w:t>
      </w:r>
      <w:r w:rsidRPr="00454AF9">
        <w:rPr>
          <w:rFonts w:ascii="Times New Roman" w:eastAsia="Calibri" w:hAnsi="Times New Roman" w:cs="Times New Roman"/>
          <w:b/>
          <w:sz w:val="32"/>
          <w:szCs w:val="28"/>
          <w:lang w:val="en-US"/>
        </w:rPr>
        <w:t>COVID</w:t>
      </w:r>
      <w:r w:rsidRPr="00454AF9">
        <w:rPr>
          <w:rFonts w:ascii="Times New Roman" w:eastAsia="Calibri" w:hAnsi="Times New Roman" w:cs="Times New Roman"/>
          <w:b/>
          <w:sz w:val="32"/>
          <w:szCs w:val="28"/>
        </w:rPr>
        <w:t>-19</w:t>
      </w:r>
    </w:p>
    <w:p w:rsidR="007C004C" w:rsidRPr="00537DDE" w:rsidRDefault="007C004C" w:rsidP="00537DDE">
      <w:pPr>
        <w:spacing w:after="0" w:line="360" w:lineRule="auto"/>
        <w:ind w:firstLine="851"/>
        <w:jc w:val="center"/>
        <w:rPr>
          <w:rFonts w:ascii="Times New Roman" w:eastAsia="Calibri" w:hAnsi="Times New Roman" w:cs="Times New Roman"/>
          <w:b/>
          <w:sz w:val="28"/>
          <w:szCs w:val="28"/>
        </w:rPr>
      </w:pPr>
    </w:p>
    <w:p w:rsidR="00537DDE" w:rsidRP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Коронавирусная болезнь 2019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 острое инфекционное заболевание обладающая высокой контагиозностью среди человеческой популяции [1, 2]. С момента первого документального подтверждения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в Ухане (декабрь 2019 года), до момента приобретения статуса пандемии (30 января 2020 года) не прошло и двух полных месяца [3-6]. За кротчайший срок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приобрела титул «самой глобальной проблемой в области здравоохранения со времен Второй мировой войны» [7].  </w:t>
      </w:r>
    </w:p>
    <w:p w:rsidR="00537DDE" w:rsidRPr="00537DDE" w:rsidRDefault="00537DDE" w:rsidP="007C004C">
      <w:pPr>
        <w:numPr>
          <w:ilvl w:val="1"/>
          <w:numId w:val="2"/>
        </w:numPr>
        <w:spacing w:after="0" w:line="360" w:lineRule="auto"/>
        <w:ind w:left="0" w:firstLine="567"/>
        <w:contextualSpacing/>
        <w:jc w:val="both"/>
        <w:rPr>
          <w:rFonts w:ascii="Times New Roman" w:eastAsia="Calibri" w:hAnsi="Times New Roman" w:cs="Times New Roman"/>
          <w:b/>
          <w:sz w:val="28"/>
          <w:szCs w:val="28"/>
        </w:rPr>
      </w:pPr>
      <w:r w:rsidRPr="00537DDE">
        <w:rPr>
          <w:rFonts w:ascii="Times New Roman" w:eastAsia="Calibri" w:hAnsi="Times New Roman" w:cs="Times New Roman"/>
          <w:b/>
          <w:sz w:val="28"/>
          <w:szCs w:val="28"/>
        </w:rPr>
        <w:t xml:space="preserve">Общая характеристика </w:t>
      </w:r>
      <w:r w:rsidRPr="00537DDE">
        <w:rPr>
          <w:rFonts w:ascii="Times New Roman" w:eastAsia="Calibri" w:hAnsi="Times New Roman" w:cs="Times New Roman"/>
          <w:b/>
          <w:sz w:val="28"/>
          <w:szCs w:val="28"/>
          <w:lang w:val="en-US"/>
        </w:rPr>
        <w:t>Sars</w:t>
      </w:r>
      <w:r w:rsidRPr="00537DDE">
        <w:rPr>
          <w:rFonts w:ascii="Times New Roman" w:eastAsia="Calibri" w:hAnsi="Times New Roman" w:cs="Times New Roman"/>
          <w:b/>
          <w:sz w:val="28"/>
          <w:szCs w:val="28"/>
        </w:rPr>
        <w:t>-</w:t>
      </w:r>
      <w:r w:rsidRPr="00537DDE">
        <w:rPr>
          <w:rFonts w:ascii="Times New Roman" w:eastAsia="Calibri" w:hAnsi="Times New Roman" w:cs="Times New Roman"/>
          <w:b/>
          <w:sz w:val="28"/>
          <w:szCs w:val="28"/>
          <w:lang w:val="en-US"/>
        </w:rPr>
        <w:t>CoV</w:t>
      </w:r>
      <w:r w:rsidRPr="00537DDE">
        <w:rPr>
          <w:rFonts w:ascii="Times New Roman" w:eastAsia="Calibri" w:hAnsi="Times New Roman" w:cs="Times New Roman"/>
          <w:b/>
          <w:sz w:val="28"/>
          <w:szCs w:val="28"/>
        </w:rPr>
        <w:t xml:space="preserve">-2 и видов коронавирусов преодолевших видовой барьер. </w:t>
      </w:r>
    </w:p>
    <w:p w:rsidR="00537DDE" w:rsidRP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Коронавирусы – большое семейство вирусов, которые распространились среди людей и др. видов животных. Ранее было отмечено только зоонозные пути передачи с последующей мутаций коронавирусов что привело к первой эпидемии вызванной </w:t>
      </w:r>
      <w:r w:rsidRPr="00537DDE">
        <w:rPr>
          <w:rFonts w:ascii="Times New Roman" w:eastAsia="Calibri" w:hAnsi="Times New Roman" w:cs="Times New Roman"/>
          <w:sz w:val="28"/>
          <w:szCs w:val="28"/>
          <w:lang w:val="en-US"/>
        </w:rPr>
        <w:t>Sars</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CoV</w:t>
      </w:r>
      <w:r w:rsidRPr="00537DDE">
        <w:rPr>
          <w:rFonts w:ascii="Times New Roman" w:eastAsia="Calibri" w:hAnsi="Times New Roman" w:cs="Times New Roman"/>
          <w:sz w:val="28"/>
          <w:szCs w:val="28"/>
        </w:rPr>
        <w:t xml:space="preserve"> и последующей </w:t>
      </w:r>
      <w:r w:rsidRPr="00537DDE">
        <w:rPr>
          <w:rFonts w:ascii="Times New Roman" w:eastAsia="Calibri" w:hAnsi="Times New Roman" w:cs="Times New Roman"/>
          <w:sz w:val="28"/>
          <w:szCs w:val="28"/>
          <w:lang w:val="en-US"/>
        </w:rPr>
        <w:t>Mers</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CoV</w:t>
      </w:r>
      <w:r w:rsidRPr="00537DDE">
        <w:rPr>
          <w:rFonts w:ascii="Times New Roman" w:eastAsia="Calibri" w:hAnsi="Times New Roman" w:cs="Times New Roman"/>
          <w:sz w:val="28"/>
          <w:szCs w:val="28"/>
        </w:rPr>
        <w:t xml:space="preserve"> [8-10]. Таким образом, до настоящего времени считалось что человек может заразиться </w:t>
      </w:r>
      <w:r w:rsidRPr="00537DDE">
        <w:rPr>
          <w:rFonts w:ascii="Times New Roman" w:eastAsia="Calibri" w:hAnsi="Times New Roman" w:cs="Times New Roman"/>
          <w:sz w:val="28"/>
          <w:szCs w:val="28"/>
          <w:lang w:val="en-US"/>
        </w:rPr>
        <w:t>Sars</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CoV</w:t>
      </w:r>
      <w:r w:rsidRPr="00537DDE">
        <w:rPr>
          <w:rFonts w:ascii="Times New Roman" w:eastAsia="Calibri" w:hAnsi="Times New Roman" w:cs="Times New Roman"/>
          <w:sz w:val="28"/>
          <w:szCs w:val="28"/>
        </w:rPr>
        <w:t>-2 только при прямом контакте с промежуточным хозяином [5]. После преодоления видового барьера Sars-CoV-2 приобрел число репродукции (</w:t>
      </w:r>
      <w:r w:rsidRPr="00537DDE">
        <w:rPr>
          <w:rFonts w:ascii="Times New Roman" w:eastAsia="Calibri" w:hAnsi="Times New Roman" w:cs="Times New Roman"/>
          <w:sz w:val="28"/>
          <w:szCs w:val="28"/>
          <w:lang w:val="en-US"/>
        </w:rPr>
        <w:t>R</w:t>
      </w:r>
      <w:r w:rsidRPr="00537DDE">
        <w:rPr>
          <w:rFonts w:ascii="Times New Roman" w:eastAsia="Calibri" w:hAnsi="Times New Roman" w:cs="Times New Roman"/>
          <w:sz w:val="28"/>
          <w:szCs w:val="28"/>
          <w:vertAlign w:val="subscript"/>
        </w:rPr>
        <w:t>0</w:t>
      </w:r>
      <w:r w:rsidRPr="00537DDE">
        <w:rPr>
          <w:rFonts w:ascii="Times New Roman" w:eastAsia="Calibri" w:hAnsi="Times New Roman" w:cs="Times New Roman"/>
          <w:sz w:val="28"/>
          <w:szCs w:val="28"/>
        </w:rPr>
        <w:t xml:space="preserve"> – 2.2) с постоянным ее ростом в корреляции с выявленными случаями во всем мире [11-13].</w:t>
      </w:r>
    </w:p>
    <w:p w:rsidR="00537DDE" w:rsidRP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lastRenderedPageBreak/>
        <w:t xml:space="preserve">Таксонометрии можно выделить что </w:t>
      </w:r>
      <w:r w:rsidRPr="00537DDE">
        <w:rPr>
          <w:rFonts w:ascii="Times New Roman" w:eastAsia="Calibri" w:hAnsi="Times New Roman" w:cs="Times New Roman"/>
          <w:sz w:val="28"/>
          <w:szCs w:val="28"/>
          <w:lang w:val="en-US"/>
        </w:rPr>
        <w:t>Sars</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CoV</w:t>
      </w:r>
      <w:r w:rsidRPr="00537DDE">
        <w:rPr>
          <w:rFonts w:ascii="Times New Roman" w:eastAsia="Calibri" w:hAnsi="Times New Roman" w:cs="Times New Roman"/>
          <w:sz w:val="28"/>
          <w:szCs w:val="28"/>
        </w:rPr>
        <w:t xml:space="preserve">-2 относится к роду </w:t>
      </w:r>
      <w:r w:rsidRPr="00537DDE">
        <w:rPr>
          <w:rFonts w:ascii="Times New Roman" w:eastAsia="Calibri" w:hAnsi="Times New Roman" w:cs="Times New Roman"/>
          <w:sz w:val="28"/>
          <w:szCs w:val="28"/>
          <w:lang w:val="en-US"/>
        </w:rPr>
        <w:t>Betacoronaviris</w:t>
      </w:r>
      <w:r w:rsidRPr="00537DDE">
        <w:rPr>
          <w:rFonts w:ascii="Times New Roman" w:eastAsia="Calibri" w:hAnsi="Times New Roman" w:cs="Times New Roman"/>
          <w:sz w:val="28"/>
          <w:szCs w:val="28"/>
        </w:rPr>
        <w:t xml:space="preserve">, семейству </w:t>
      </w:r>
      <w:r w:rsidRPr="00537DDE">
        <w:rPr>
          <w:rFonts w:ascii="Times New Roman" w:eastAsia="Calibri" w:hAnsi="Times New Roman" w:cs="Times New Roman"/>
          <w:sz w:val="28"/>
          <w:szCs w:val="28"/>
          <w:lang w:val="en-US"/>
        </w:rPr>
        <w:t>Orthocoronavirinae</w:t>
      </w:r>
      <w:r w:rsidRPr="00537DDE">
        <w:rPr>
          <w:rFonts w:ascii="Times New Roman" w:eastAsia="Calibri" w:hAnsi="Times New Roman" w:cs="Times New Roman"/>
          <w:sz w:val="28"/>
          <w:szCs w:val="28"/>
        </w:rPr>
        <w:t xml:space="preserve">, отряду </w:t>
      </w:r>
      <w:r w:rsidRPr="00537DDE">
        <w:rPr>
          <w:rFonts w:ascii="Times New Roman" w:eastAsia="Calibri" w:hAnsi="Times New Roman" w:cs="Times New Roman"/>
          <w:sz w:val="28"/>
          <w:szCs w:val="28"/>
          <w:lang w:val="en-US"/>
        </w:rPr>
        <w:t>Coronaviridae</w:t>
      </w:r>
      <w:r w:rsidRPr="00537DDE">
        <w:rPr>
          <w:rFonts w:ascii="Times New Roman" w:eastAsia="Calibri" w:hAnsi="Times New Roman" w:cs="Times New Roman"/>
          <w:sz w:val="28"/>
          <w:szCs w:val="28"/>
        </w:rPr>
        <w:t xml:space="preserve"> </w:t>
      </w:r>
      <w:r w:rsidRPr="00537DDE">
        <w:rPr>
          <w:rFonts w:ascii="Times New Roman" w:eastAsia="Calibri" w:hAnsi="Times New Roman" w:cs="Times New Roman"/>
          <w:sz w:val="28"/>
          <w:szCs w:val="28"/>
          <w:lang w:val="en-US"/>
        </w:rPr>
        <w:t>Nidoviriles</w:t>
      </w:r>
      <w:r w:rsidRPr="00537DDE">
        <w:rPr>
          <w:rFonts w:ascii="Times New Roman" w:eastAsia="Calibri" w:hAnsi="Times New Roman" w:cs="Times New Roman"/>
          <w:sz w:val="28"/>
          <w:szCs w:val="28"/>
        </w:rPr>
        <w:t xml:space="preserve"> [14-17]. В настоящее время известны четыре основных типа коронавирусов: альфа (α), бета (β), гамма (γ) и дельта (δ). Начиная от впервые выявленных коронавирусов, способных поражать человека, наиболее опасными для человека считаются α- и β-коронавирусы, ввиду идентифицированных случаев патологий вызванных серотипами 229</w:t>
      </w:r>
      <w:r w:rsidRPr="00537DDE">
        <w:rPr>
          <w:rFonts w:ascii="Times New Roman" w:eastAsia="Calibri" w:hAnsi="Times New Roman" w:cs="Times New Roman"/>
          <w:sz w:val="28"/>
          <w:szCs w:val="28"/>
          <w:lang w:val="en-US"/>
        </w:rPr>
        <w:t>E</w:t>
      </w:r>
      <w:r w:rsidRPr="00537DDE">
        <w:rPr>
          <w:rFonts w:ascii="Times New Roman" w:eastAsia="Calibri" w:hAnsi="Times New Roman" w:cs="Times New Roman"/>
          <w:sz w:val="28"/>
          <w:szCs w:val="28"/>
        </w:rPr>
        <w:t xml:space="preserve">, </w:t>
      </w:r>
      <w:r w:rsidRPr="00537DDE">
        <w:rPr>
          <w:rFonts w:ascii="Times New Roman" w:eastAsia="Calibri" w:hAnsi="Times New Roman" w:cs="Times New Roman"/>
          <w:sz w:val="28"/>
          <w:szCs w:val="28"/>
          <w:lang w:val="en-US"/>
        </w:rPr>
        <w:t>NL</w:t>
      </w:r>
      <w:r w:rsidRPr="00537DDE">
        <w:rPr>
          <w:rFonts w:ascii="Times New Roman" w:eastAsia="Calibri" w:hAnsi="Times New Roman" w:cs="Times New Roman"/>
          <w:sz w:val="28"/>
          <w:szCs w:val="28"/>
        </w:rPr>
        <w:t xml:space="preserve">63 (α) и </w:t>
      </w:r>
      <w:r w:rsidRPr="00537DDE">
        <w:rPr>
          <w:rFonts w:ascii="Times New Roman" w:eastAsia="Calibri" w:hAnsi="Times New Roman" w:cs="Times New Roman"/>
          <w:sz w:val="28"/>
          <w:szCs w:val="28"/>
          <w:lang w:val="en-US"/>
        </w:rPr>
        <w:t>OC</w:t>
      </w:r>
      <w:r w:rsidRPr="00537DDE">
        <w:rPr>
          <w:rFonts w:ascii="Times New Roman" w:eastAsia="Calibri" w:hAnsi="Times New Roman" w:cs="Times New Roman"/>
          <w:sz w:val="28"/>
          <w:szCs w:val="28"/>
        </w:rPr>
        <w:t xml:space="preserve">43, </w:t>
      </w:r>
      <w:r w:rsidRPr="00537DDE">
        <w:rPr>
          <w:rFonts w:ascii="Times New Roman" w:eastAsia="Calibri" w:hAnsi="Times New Roman" w:cs="Times New Roman"/>
          <w:sz w:val="28"/>
          <w:szCs w:val="28"/>
          <w:lang w:val="en-US"/>
        </w:rPr>
        <w:t>NKU</w:t>
      </w:r>
      <w:r w:rsidRPr="00537DDE">
        <w:rPr>
          <w:rFonts w:ascii="Times New Roman" w:eastAsia="Calibri" w:hAnsi="Times New Roman" w:cs="Times New Roman"/>
          <w:sz w:val="28"/>
          <w:szCs w:val="28"/>
        </w:rPr>
        <w:t xml:space="preserve">1 (β) [14]. </w:t>
      </w:r>
      <w:r w:rsidRPr="00537DDE">
        <w:rPr>
          <w:rFonts w:ascii="Times New Roman" w:eastAsia="Calibri" w:hAnsi="Times New Roman" w:cs="Times New Roman"/>
          <w:sz w:val="28"/>
          <w:szCs w:val="28"/>
          <w:lang w:val="en-US"/>
        </w:rPr>
        <w:t>Sars</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CoV</w:t>
      </w:r>
      <w:r w:rsidRPr="00537DDE">
        <w:rPr>
          <w:rFonts w:ascii="Times New Roman" w:eastAsia="Calibri" w:hAnsi="Times New Roman" w:cs="Times New Roman"/>
          <w:sz w:val="28"/>
          <w:szCs w:val="28"/>
        </w:rPr>
        <w:t>-2 как и его предшественники, стимулировал коэволюцию коронавирусов, став короновирусом человека (</w:t>
      </w:r>
      <w:r w:rsidRPr="00537DDE">
        <w:rPr>
          <w:rFonts w:ascii="Times New Roman" w:eastAsia="Calibri" w:hAnsi="Times New Roman" w:cs="Times New Roman"/>
          <w:sz w:val="28"/>
          <w:szCs w:val="28"/>
          <w:lang w:val="en-US"/>
        </w:rPr>
        <w:t>HCoV</w:t>
      </w:r>
      <w:r w:rsidRPr="00537DDE">
        <w:rPr>
          <w:rFonts w:ascii="Times New Roman" w:eastAsia="Calibri" w:hAnsi="Times New Roman" w:cs="Times New Roman"/>
          <w:sz w:val="28"/>
          <w:szCs w:val="28"/>
        </w:rPr>
        <w:t>) [18].</w:t>
      </w:r>
    </w:p>
    <w:p w:rsidR="00537DDE" w:rsidRP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Плеоморфная вирусная частица содержит одноцепочечную РНК (</w:t>
      </w:r>
      <w:r w:rsidRPr="00537DDE">
        <w:rPr>
          <w:rFonts w:ascii="Times New Roman" w:eastAsia="Calibri" w:hAnsi="Times New Roman" w:cs="Times New Roman"/>
          <w:sz w:val="28"/>
          <w:szCs w:val="28"/>
          <w:lang w:val="en-US"/>
        </w:rPr>
        <w:t>ssRNA</w:t>
      </w:r>
      <w:r w:rsidRPr="00537DDE">
        <w:rPr>
          <w:rFonts w:ascii="Times New Roman" w:eastAsia="Calibri" w:hAnsi="Times New Roman" w:cs="Times New Roman"/>
          <w:sz w:val="28"/>
          <w:szCs w:val="28"/>
        </w:rPr>
        <w:t>+) в качестве своего генома [19, 20]. Структурные белковые образования на поверхности мембраны состоят из основных 4-х типов: шипов (</w:t>
      </w:r>
      <w:r w:rsidRPr="00537DDE">
        <w:rPr>
          <w:rFonts w:ascii="Times New Roman" w:eastAsia="Calibri" w:hAnsi="Times New Roman" w:cs="Times New Roman"/>
          <w:sz w:val="28"/>
          <w:szCs w:val="28"/>
          <w:lang w:val="en-US"/>
        </w:rPr>
        <w:t>S</w:t>
      </w:r>
      <w:r w:rsidRPr="00537DDE">
        <w:rPr>
          <w:rFonts w:ascii="Times New Roman" w:eastAsia="Calibri" w:hAnsi="Times New Roman" w:cs="Times New Roman"/>
          <w:sz w:val="28"/>
          <w:szCs w:val="28"/>
        </w:rPr>
        <w:t>), оболочки (</w:t>
      </w:r>
      <w:r w:rsidRPr="00537DDE">
        <w:rPr>
          <w:rFonts w:ascii="Times New Roman" w:eastAsia="Calibri" w:hAnsi="Times New Roman" w:cs="Times New Roman"/>
          <w:sz w:val="28"/>
          <w:szCs w:val="28"/>
          <w:lang w:val="en-US"/>
        </w:rPr>
        <w:t>E</w:t>
      </w:r>
      <w:r w:rsidRPr="00537DDE">
        <w:rPr>
          <w:rFonts w:ascii="Times New Roman" w:eastAsia="Calibri" w:hAnsi="Times New Roman" w:cs="Times New Roman"/>
          <w:sz w:val="28"/>
          <w:szCs w:val="28"/>
        </w:rPr>
        <w:t>), мембраны (М) и нуклеокапсида (</w:t>
      </w:r>
      <w:r w:rsidRPr="00537DDE">
        <w:rPr>
          <w:rFonts w:ascii="Times New Roman" w:eastAsia="Calibri" w:hAnsi="Times New Roman" w:cs="Times New Roman"/>
          <w:sz w:val="28"/>
          <w:szCs w:val="28"/>
          <w:lang w:val="en-US"/>
        </w:rPr>
        <w:t>N</w:t>
      </w:r>
      <w:r w:rsidRPr="00537DDE">
        <w:rPr>
          <w:rFonts w:ascii="Times New Roman" w:eastAsia="Calibri" w:hAnsi="Times New Roman" w:cs="Times New Roman"/>
          <w:sz w:val="28"/>
          <w:szCs w:val="28"/>
        </w:rPr>
        <w:t xml:space="preserve">) [20, 21]. Наиболее значимую роль в вопросах проникновения в клетку человека имеет белок </w:t>
      </w:r>
      <w:r w:rsidRPr="00537DDE">
        <w:rPr>
          <w:rFonts w:ascii="Times New Roman" w:eastAsia="Calibri" w:hAnsi="Times New Roman" w:cs="Times New Roman"/>
          <w:sz w:val="28"/>
          <w:szCs w:val="28"/>
          <w:lang w:val="en-US"/>
        </w:rPr>
        <w:t>S</w:t>
      </w:r>
      <w:r w:rsidRPr="00537DDE">
        <w:rPr>
          <w:rFonts w:ascii="Times New Roman" w:eastAsia="Calibri" w:hAnsi="Times New Roman" w:cs="Times New Roman"/>
          <w:sz w:val="28"/>
          <w:szCs w:val="28"/>
        </w:rPr>
        <w:t xml:space="preserve"> [22], белок </w:t>
      </w:r>
      <w:r w:rsidRPr="00537DDE">
        <w:rPr>
          <w:rFonts w:ascii="Times New Roman" w:eastAsia="Calibri" w:hAnsi="Times New Roman" w:cs="Times New Roman"/>
          <w:sz w:val="28"/>
          <w:szCs w:val="28"/>
          <w:lang w:val="en-US"/>
        </w:rPr>
        <w:t>N</w:t>
      </w:r>
      <w:r w:rsidRPr="00537DDE">
        <w:rPr>
          <w:rFonts w:ascii="Times New Roman" w:eastAsia="Calibri" w:hAnsi="Times New Roman" w:cs="Times New Roman"/>
          <w:sz w:val="28"/>
          <w:szCs w:val="28"/>
        </w:rPr>
        <w:t xml:space="preserve"> – в репликации [23]. Между </w:t>
      </w:r>
      <w:r w:rsidRPr="00537DDE">
        <w:rPr>
          <w:rFonts w:ascii="Times New Roman" w:eastAsia="Calibri" w:hAnsi="Times New Roman" w:cs="Times New Roman"/>
          <w:sz w:val="28"/>
          <w:szCs w:val="28"/>
          <w:lang w:val="en-US"/>
        </w:rPr>
        <w:t>S</w:t>
      </w:r>
      <w:r w:rsidRPr="00537DDE">
        <w:rPr>
          <w:rFonts w:ascii="Times New Roman" w:eastAsia="Calibri" w:hAnsi="Times New Roman" w:cs="Times New Roman"/>
          <w:sz w:val="28"/>
          <w:szCs w:val="28"/>
        </w:rPr>
        <w:t xml:space="preserve"> и </w:t>
      </w:r>
      <w:r w:rsidRPr="00537DDE">
        <w:rPr>
          <w:rFonts w:ascii="Times New Roman" w:eastAsia="Calibri" w:hAnsi="Times New Roman" w:cs="Times New Roman"/>
          <w:sz w:val="28"/>
          <w:szCs w:val="28"/>
          <w:lang w:val="en-US"/>
        </w:rPr>
        <w:t>N</w:t>
      </w:r>
      <w:r w:rsidRPr="00537DDE">
        <w:rPr>
          <w:rFonts w:ascii="Times New Roman" w:eastAsia="Calibri" w:hAnsi="Times New Roman" w:cs="Times New Roman"/>
          <w:sz w:val="28"/>
          <w:szCs w:val="28"/>
        </w:rPr>
        <w:t xml:space="preserve"> белками расположен интегральный гликопротеин называемый матриксный белок, который контактируя с </w:t>
      </w:r>
      <w:r w:rsidRPr="00537DDE">
        <w:rPr>
          <w:rFonts w:ascii="Times New Roman" w:eastAsia="Calibri" w:hAnsi="Times New Roman" w:cs="Times New Roman"/>
          <w:sz w:val="28"/>
          <w:szCs w:val="28"/>
          <w:lang w:val="en-US"/>
        </w:rPr>
        <w:t>N</w:t>
      </w:r>
      <w:r w:rsidRPr="00537DDE">
        <w:rPr>
          <w:rFonts w:ascii="Times New Roman" w:eastAsia="Calibri" w:hAnsi="Times New Roman" w:cs="Times New Roman"/>
          <w:sz w:val="28"/>
          <w:szCs w:val="28"/>
        </w:rPr>
        <w:t xml:space="preserve">-белком координирует функционал жизненного цикла </w:t>
      </w:r>
      <w:r w:rsidRPr="00537DDE">
        <w:rPr>
          <w:rFonts w:ascii="Times New Roman" w:eastAsia="Calibri" w:hAnsi="Times New Roman" w:cs="Times New Roman"/>
          <w:sz w:val="28"/>
          <w:szCs w:val="28"/>
          <w:lang w:val="en-US"/>
        </w:rPr>
        <w:t>Sars</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CoV</w:t>
      </w:r>
      <w:r w:rsidRPr="00537DDE">
        <w:rPr>
          <w:rFonts w:ascii="Times New Roman" w:eastAsia="Calibri" w:hAnsi="Times New Roman" w:cs="Times New Roman"/>
          <w:sz w:val="28"/>
          <w:szCs w:val="28"/>
        </w:rPr>
        <w:t xml:space="preserve">-2 [23, 24]. Относительно внедрения в клетку, главным входным рецептором, является </w:t>
      </w:r>
      <w:r w:rsidRPr="00537DDE">
        <w:rPr>
          <w:rFonts w:ascii="Times New Roman" w:eastAsia="Calibri" w:hAnsi="Times New Roman" w:cs="Times New Roman"/>
          <w:sz w:val="28"/>
          <w:szCs w:val="28"/>
          <w:lang w:val="en-US"/>
        </w:rPr>
        <w:t>ACE</w:t>
      </w:r>
      <w:r w:rsidRPr="00537DDE">
        <w:rPr>
          <w:rFonts w:ascii="Times New Roman" w:eastAsia="Calibri" w:hAnsi="Times New Roman" w:cs="Times New Roman"/>
          <w:sz w:val="28"/>
          <w:szCs w:val="28"/>
        </w:rPr>
        <w:t xml:space="preserve">2, под действием протеазы хозяина </w:t>
      </w:r>
      <w:r w:rsidRPr="00537DDE">
        <w:rPr>
          <w:rFonts w:ascii="Times New Roman" w:eastAsia="Calibri" w:hAnsi="Times New Roman" w:cs="Times New Roman"/>
          <w:sz w:val="28"/>
          <w:szCs w:val="28"/>
          <w:lang w:val="en-US"/>
        </w:rPr>
        <w:t>S</w:t>
      </w:r>
      <w:r w:rsidRPr="00537DDE">
        <w:rPr>
          <w:rFonts w:ascii="Times New Roman" w:eastAsia="Calibri" w:hAnsi="Times New Roman" w:cs="Times New Roman"/>
          <w:sz w:val="28"/>
          <w:szCs w:val="28"/>
        </w:rPr>
        <w:t xml:space="preserve"> – белок претерпевает ряд изменений что позволяет </w:t>
      </w:r>
      <w:r w:rsidRPr="00537DDE">
        <w:rPr>
          <w:rFonts w:ascii="Times New Roman" w:eastAsia="Calibri" w:hAnsi="Times New Roman" w:cs="Times New Roman"/>
          <w:sz w:val="28"/>
          <w:szCs w:val="28"/>
          <w:lang w:val="en-US"/>
        </w:rPr>
        <w:t>Sars</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CoV</w:t>
      </w:r>
      <w:r w:rsidRPr="00537DDE">
        <w:rPr>
          <w:rFonts w:ascii="Times New Roman" w:eastAsia="Calibri" w:hAnsi="Times New Roman" w:cs="Times New Roman"/>
          <w:sz w:val="28"/>
          <w:szCs w:val="28"/>
        </w:rPr>
        <w:t xml:space="preserve">-2 в 10-20 раз превосходить </w:t>
      </w:r>
      <w:r w:rsidRPr="00537DDE">
        <w:rPr>
          <w:rFonts w:ascii="Times New Roman" w:eastAsia="Calibri" w:hAnsi="Times New Roman" w:cs="Times New Roman"/>
          <w:sz w:val="28"/>
          <w:szCs w:val="28"/>
          <w:lang w:val="en-US"/>
        </w:rPr>
        <w:t>Sars</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CoV</w:t>
      </w:r>
      <w:r w:rsidRPr="00537DDE">
        <w:rPr>
          <w:rFonts w:ascii="Times New Roman" w:eastAsia="Calibri" w:hAnsi="Times New Roman" w:cs="Times New Roman"/>
          <w:sz w:val="28"/>
          <w:szCs w:val="28"/>
        </w:rPr>
        <w:t xml:space="preserve"> в способности к проникновению в клетку [25-27]. Ряд авторов отмечают роль </w:t>
      </w:r>
      <w:r w:rsidRPr="00537DDE">
        <w:rPr>
          <w:rFonts w:ascii="Times New Roman" w:eastAsia="Calibri" w:hAnsi="Times New Roman" w:cs="Times New Roman"/>
          <w:sz w:val="28"/>
          <w:szCs w:val="28"/>
          <w:lang w:val="en-US"/>
        </w:rPr>
        <w:t>TMPRSS</w:t>
      </w:r>
      <w:r w:rsidRPr="00537DDE">
        <w:rPr>
          <w:rFonts w:ascii="Times New Roman" w:eastAsia="Calibri" w:hAnsi="Times New Roman" w:cs="Times New Roman"/>
          <w:sz w:val="28"/>
          <w:szCs w:val="28"/>
        </w:rPr>
        <w:t xml:space="preserve">-2, </w:t>
      </w:r>
      <w:r w:rsidRPr="00537DDE">
        <w:rPr>
          <w:rFonts w:ascii="Times New Roman" w:eastAsia="Calibri" w:hAnsi="Times New Roman" w:cs="Times New Roman"/>
          <w:sz w:val="28"/>
          <w:szCs w:val="28"/>
          <w:lang w:val="en-US"/>
        </w:rPr>
        <w:t>TMPRSS</w:t>
      </w:r>
      <w:r w:rsidRPr="00537DDE">
        <w:rPr>
          <w:rFonts w:ascii="Times New Roman" w:eastAsia="Calibri" w:hAnsi="Times New Roman" w:cs="Times New Roman"/>
          <w:sz w:val="28"/>
          <w:szCs w:val="28"/>
        </w:rPr>
        <w:t xml:space="preserve">-4 и </w:t>
      </w:r>
      <w:r w:rsidRPr="00537DDE">
        <w:rPr>
          <w:rFonts w:ascii="Times New Roman" w:eastAsia="Calibri" w:hAnsi="Times New Roman" w:cs="Times New Roman"/>
          <w:sz w:val="28"/>
          <w:szCs w:val="28"/>
          <w:lang w:val="en-US"/>
        </w:rPr>
        <w:t>HAT</w:t>
      </w:r>
      <w:r w:rsidRPr="00537DDE">
        <w:rPr>
          <w:rFonts w:ascii="Times New Roman" w:eastAsia="Calibri" w:hAnsi="Times New Roman" w:cs="Times New Roman"/>
          <w:sz w:val="28"/>
          <w:szCs w:val="28"/>
        </w:rPr>
        <w:t xml:space="preserve"> в проникновении [28, 29], но все же ведущую роль играет рецептор </w:t>
      </w:r>
      <w:r w:rsidRPr="00537DDE">
        <w:rPr>
          <w:rFonts w:ascii="Times New Roman" w:eastAsia="Calibri" w:hAnsi="Times New Roman" w:cs="Times New Roman"/>
          <w:sz w:val="28"/>
          <w:szCs w:val="28"/>
          <w:lang w:val="en-US"/>
        </w:rPr>
        <w:t>ACE</w:t>
      </w:r>
      <w:r w:rsidRPr="00537DDE">
        <w:rPr>
          <w:rFonts w:ascii="Times New Roman" w:eastAsia="Calibri" w:hAnsi="Times New Roman" w:cs="Times New Roman"/>
          <w:sz w:val="28"/>
          <w:szCs w:val="28"/>
        </w:rPr>
        <w:t xml:space="preserve">2. </w:t>
      </w:r>
    </w:p>
    <w:p w:rsidR="00537DDE" w:rsidRP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Таким образом в настоящее время известно что </w:t>
      </w:r>
      <w:r w:rsidRPr="00537DDE">
        <w:rPr>
          <w:rFonts w:ascii="Times New Roman" w:eastAsia="Calibri" w:hAnsi="Times New Roman" w:cs="Times New Roman"/>
          <w:sz w:val="28"/>
          <w:szCs w:val="28"/>
          <w:lang w:val="en-US"/>
        </w:rPr>
        <w:t>Sars</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CoV</w:t>
      </w:r>
      <w:r w:rsidRPr="00537DDE">
        <w:rPr>
          <w:rFonts w:ascii="Times New Roman" w:eastAsia="Calibri" w:hAnsi="Times New Roman" w:cs="Times New Roman"/>
          <w:sz w:val="28"/>
          <w:szCs w:val="28"/>
        </w:rPr>
        <w:t xml:space="preserve">-2 использует рецептор </w:t>
      </w:r>
      <w:r w:rsidRPr="00537DDE">
        <w:rPr>
          <w:rFonts w:ascii="Times New Roman" w:eastAsia="Calibri" w:hAnsi="Times New Roman" w:cs="Times New Roman"/>
          <w:sz w:val="28"/>
          <w:szCs w:val="28"/>
          <w:lang w:val="en-US"/>
        </w:rPr>
        <w:t>ACE</w:t>
      </w:r>
      <w:r w:rsidRPr="00537DDE">
        <w:rPr>
          <w:rFonts w:ascii="Times New Roman" w:eastAsia="Calibri" w:hAnsi="Times New Roman" w:cs="Times New Roman"/>
          <w:sz w:val="28"/>
          <w:szCs w:val="28"/>
        </w:rPr>
        <w:t xml:space="preserve">2 дыхательных путей как основной путь проникновения [30], но так же возможно проникновение через экспрессию вышесказанного рецептора на энтотелиальных клетках тонкого кишечника [31]. </w:t>
      </w:r>
    </w:p>
    <w:p w:rsidR="00537DDE" w:rsidRP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В момент проникновения вируса в организм человека стартует каскадный процесс по внедрению вируса в клетку альвеоцитов, презентующих на своей поверхности рецептор </w:t>
      </w:r>
      <w:r w:rsidRPr="00537DDE">
        <w:rPr>
          <w:rFonts w:ascii="Times New Roman" w:eastAsia="Calibri" w:hAnsi="Times New Roman" w:cs="Times New Roman"/>
          <w:sz w:val="28"/>
          <w:szCs w:val="28"/>
          <w:lang w:val="en-US"/>
        </w:rPr>
        <w:t>ACE</w:t>
      </w:r>
      <w:r w:rsidRPr="00537DDE">
        <w:rPr>
          <w:rFonts w:ascii="Times New Roman" w:eastAsia="Calibri" w:hAnsi="Times New Roman" w:cs="Times New Roman"/>
          <w:sz w:val="28"/>
          <w:szCs w:val="28"/>
        </w:rPr>
        <w:t xml:space="preserve">2 [22], так же отмечено что </w:t>
      </w:r>
      <w:r w:rsidRPr="00537DDE">
        <w:rPr>
          <w:rFonts w:ascii="Times New Roman" w:eastAsia="Calibri" w:hAnsi="Times New Roman" w:cs="Times New Roman"/>
          <w:sz w:val="28"/>
          <w:szCs w:val="28"/>
          <w:lang w:val="en-US"/>
        </w:rPr>
        <w:t>Sars</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CoV</w:t>
      </w:r>
      <w:r w:rsidRPr="00537DDE">
        <w:rPr>
          <w:rFonts w:ascii="Times New Roman" w:eastAsia="Calibri" w:hAnsi="Times New Roman" w:cs="Times New Roman"/>
          <w:sz w:val="28"/>
          <w:szCs w:val="28"/>
        </w:rPr>
        <w:t xml:space="preserve">-2 и </w:t>
      </w:r>
      <w:r w:rsidRPr="00537DDE">
        <w:rPr>
          <w:rFonts w:ascii="Times New Roman" w:eastAsia="Calibri" w:hAnsi="Times New Roman" w:cs="Times New Roman"/>
          <w:sz w:val="28"/>
          <w:szCs w:val="28"/>
        </w:rPr>
        <w:lastRenderedPageBreak/>
        <w:t xml:space="preserve">предшественники, могут использовать аналогичный рецептор на мембранах энтероцитов вызывая клиническую симптоматику острого энтерита. </w:t>
      </w:r>
      <w:r w:rsidRPr="00537DDE">
        <w:rPr>
          <w:rFonts w:ascii="Times New Roman" w:eastAsia="Calibri" w:hAnsi="Times New Roman" w:cs="Times New Roman"/>
          <w:sz w:val="28"/>
          <w:szCs w:val="28"/>
          <w:lang w:val="en-US"/>
        </w:rPr>
        <w:t>S</w:t>
      </w:r>
      <w:r w:rsidRPr="00537DDE">
        <w:rPr>
          <w:rFonts w:ascii="Times New Roman" w:eastAsia="Calibri" w:hAnsi="Times New Roman" w:cs="Times New Roman"/>
          <w:sz w:val="28"/>
          <w:szCs w:val="28"/>
        </w:rPr>
        <w:t xml:space="preserve">-пептид </w:t>
      </w:r>
      <w:r w:rsidRPr="00537DDE">
        <w:rPr>
          <w:rFonts w:ascii="Times New Roman" w:eastAsia="Calibri" w:hAnsi="Times New Roman" w:cs="Times New Roman"/>
          <w:sz w:val="28"/>
          <w:szCs w:val="28"/>
          <w:lang w:val="en-US"/>
        </w:rPr>
        <w:t>Sars</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CoV</w:t>
      </w:r>
      <w:r w:rsidRPr="00537DDE">
        <w:rPr>
          <w:rFonts w:ascii="Times New Roman" w:eastAsia="Calibri" w:hAnsi="Times New Roman" w:cs="Times New Roman"/>
          <w:sz w:val="28"/>
          <w:szCs w:val="28"/>
        </w:rPr>
        <w:t xml:space="preserve">-2 контактирует с </w:t>
      </w:r>
      <w:r w:rsidRPr="00537DDE">
        <w:rPr>
          <w:rFonts w:ascii="Times New Roman" w:eastAsia="Calibri" w:hAnsi="Times New Roman" w:cs="Times New Roman"/>
          <w:sz w:val="28"/>
          <w:szCs w:val="28"/>
          <w:lang w:val="en-US"/>
        </w:rPr>
        <w:t>ACE</w:t>
      </w:r>
      <w:r w:rsidRPr="00537DDE">
        <w:rPr>
          <w:rFonts w:ascii="Times New Roman" w:eastAsia="Calibri" w:hAnsi="Times New Roman" w:cs="Times New Roman"/>
          <w:sz w:val="28"/>
          <w:szCs w:val="28"/>
        </w:rPr>
        <w:t xml:space="preserve">2 инициируя процесс выделения протеаз со стороны клетки, таким образом контактная часть рецептора и вируса под воздействием протеазы активирует процесс эндоцитоза, поглощая вирусную единицу с последующей ее транспортировкой в клетку [32-34]. </w:t>
      </w:r>
    </w:p>
    <w:p w:rsidR="00537DDE" w:rsidRPr="00454AF9" w:rsidRDefault="00537DDE" w:rsidP="007C004C">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Проникнув в цитоплазму, РНК </w:t>
      </w:r>
      <w:r w:rsidRPr="00454AF9">
        <w:rPr>
          <w:rFonts w:ascii="Times New Roman" w:eastAsia="Calibri" w:hAnsi="Times New Roman" w:cs="Times New Roman"/>
          <w:spacing w:val="-4"/>
          <w:sz w:val="28"/>
          <w:szCs w:val="28"/>
          <w:lang w:val="en-US"/>
        </w:rPr>
        <w:t>Sars</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CoV</w:t>
      </w:r>
      <w:r w:rsidRPr="00454AF9">
        <w:rPr>
          <w:rFonts w:ascii="Times New Roman" w:eastAsia="Calibri" w:hAnsi="Times New Roman" w:cs="Times New Roman"/>
          <w:spacing w:val="-4"/>
          <w:sz w:val="28"/>
          <w:szCs w:val="28"/>
        </w:rPr>
        <w:t xml:space="preserve">-2 внедряется в структуру рибосом активируя процесс формирования структурных компонентов вирусного матрикса. РНК с формированием РНК-полимеразы на ее старт конце, внедряется в структуру ядра и последующим созданием матричной РНК вирусного агента, которая в зарубежной литературе обозначается как </w:t>
      </w:r>
      <w:r w:rsidRPr="00454AF9">
        <w:rPr>
          <w:rFonts w:ascii="Times New Roman" w:eastAsia="Calibri" w:hAnsi="Times New Roman" w:cs="Times New Roman"/>
          <w:spacing w:val="-4"/>
          <w:sz w:val="28"/>
          <w:szCs w:val="28"/>
          <w:lang w:val="en-US"/>
        </w:rPr>
        <w:t>Small</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RNK</w:t>
      </w:r>
      <w:r w:rsidRPr="00454AF9">
        <w:rPr>
          <w:rFonts w:ascii="Times New Roman" w:eastAsia="Calibri" w:hAnsi="Times New Roman" w:cs="Times New Roman"/>
          <w:spacing w:val="-4"/>
          <w:sz w:val="28"/>
          <w:szCs w:val="28"/>
        </w:rPr>
        <w:t xml:space="preserve">. </w:t>
      </w:r>
      <w:r w:rsidRPr="00454AF9">
        <w:rPr>
          <w:rFonts w:ascii="Times New Roman" w:eastAsia="Calibri" w:hAnsi="Times New Roman" w:cs="Times New Roman"/>
          <w:spacing w:val="-4"/>
          <w:sz w:val="28"/>
          <w:szCs w:val="28"/>
          <w:lang w:val="en-US"/>
        </w:rPr>
        <w:t>Small</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RNK</w:t>
      </w:r>
      <w:r w:rsidRPr="00454AF9">
        <w:rPr>
          <w:rFonts w:ascii="Times New Roman" w:eastAsia="Calibri" w:hAnsi="Times New Roman" w:cs="Times New Roman"/>
          <w:spacing w:val="-4"/>
          <w:sz w:val="28"/>
          <w:szCs w:val="28"/>
        </w:rPr>
        <w:t xml:space="preserve"> возвращаясь в пространство цитоплазмы, проникает в систему гранулярной эндоплазматической сети, где составные компоненты вирусной капсулы синтезируются в больших масштабах. Элементы капсулы и РНК вирусного агента собираются в цельный конгломерат внутри вакуоль аппарата Гольджи. После чего вырываются в межклеточное пространство посредством экзоцитоза или разрыва цитоплазматической мембраны клетки [35, 36].</w:t>
      </w:r>
    </w:p>
    <w:p w:rsidR="007C004C" w:rsidRPr="00537DDE" w:rsidRDefault="007C004C" w:rsidP="007C004C">
      <w:pPr>
        <w:spacing w:after="0" w:line="360" w:lineRule="auto"/>
        <w:ind w:firstLine="567"/>
        <w:jc w:val="both"/>
        <w:rPr>
          <w:rFonts w:ascii="Times New Roman" w:eastAsia="Calibri" w:hAnsi="Times New Roman" w:cs="Times New Roman"/>
          <w:sz w:val="28"/>
          <w:szCs w:val="28"/>
        </w:rPr>
      </w:pPr>
    </w:p>
    <w:p w:rsidR="00537DDE" w:rsidRDefault="00537DDE" w:rsidP="007C004C">
      <w:pPr>
        <w:numPr>
          <w:ilvl w:val="1"/>
          <w:numId w:val="2"/>
        </w:numPr>
        <w:spacing w:after="0" w:line="360" w:lineRule="auto"/>
        <w:ind w:left="0" w:firstLine="567"/>
        <w:contextualSpacing/>
        <w:rPr>
          <w:rFonts w:ascii="Times New Roman" w:eastAsia="Calibri" w:hAnsi="Times New Roman" w:cs="Times New Roman"/>
          <w:b/>
          <w:sz w:val="28"/>
          <w:szCs w:val="28"/>
        </w:rPr>
      </w:pPr>
      <w:r w:rsidRPr="00537DDE">
        <w:rPr>
          <w:rFonts w:ascii="Times New Roman" w:eastAsia="Calibri" w:hAnsi="Times New Roman" w:cs="Times New Roman"/>
          <w:b/>
          <w:sz w:val="28"/>
          <w:szCs w:val="28"/>
        </w:rPr>
        <w:t xml:space="preserve">Эпидемиология </w:t>
      </w:r>
      <w:r w:rsidRPr="00537DDE">
        <w:rPr>
          <w:rFonts w:ascii="Times New Roman" w:eastAsia="Calibri" w:hAnsi="Times New Roman" w:cs="Times New Roman"/>
          <w:b/>
          <w:sz w:val="28"/>
          <w:szCs w:val="28"/>
          <w:lang w:val="en-US"/>
        </w:rPr>
        <w:t>COVID</w:t>
      </w:r>
      <w:r w:rsidRPr="00537DDE">
        <w:rPr>
          <w:rFonts w:ascii="Times New Roman" w:eastAsia="Calibri" w:hAnsi="Times New Roman" w:cs="Times New Roman"/>
          <w:b/>
          <w:sz w:val="28"/>
          <w:szCs w:val="28"/>
        </w:rPr>
        <w:t>-19 в мире и Кыргызской Республике.</w:t>
      </w:r>
    </w:p>
    <w:p w:rsidR="00537DDE" w:rsidRP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За период пандемии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было заражено более 648 млн. человек, в том числе зарегистрированных 6.6 млн. смертей [37]. Уровень смертности варьировал от 0 до 20% в зависимости от страны [38]. На территории Кыргызской Республики, общее число зараженных составило 200993 случаев, при населении более 6 млн. человек. Умерли 2991 человек, согласно официальной статистике уровень летальности составил 1.48 [39, 40]. Ввиду разнородности климатических регионов, оценка локальных показателей в областях КР наиболее целесообразной в данной диссертационной работе. Таким образом, Бишкек, как самый густонаселенный регион, выявил у себя, 95281 зараженного, 1670 смертей с коэффициентом смертности 1.75, тогда как в менее населенном регионе, Нарынской области (высокогорье), выявленно </w:t>
      </w:r>
      <w:r w:rsidRPr="00537DDE">
        <w:rPr>
          <w:rFonts w:ascii="Times New Roman" w:eastAsia="Calibri" w:hAnsi="Times New Roman" w:cs="Times New Roman"/>
          <w:sz w:val="28"/>
          <w:szCs w:val="28"/>
        </w:rPr>
        <w:lastRenderedPageBreak/>
        <w:t xml:space="preserve">4231 случаев и смертельным исходом у 87 человек, коэффициент смертности 2.05. Регион среднегорья (Иссык-Кульская область) – 14183 случая, умерло 219 человек, коэффициент летальности 1.5. В целях ранжирования - южный регион: г.Ош – 9882 инфицированных, умерло 86, коэффициент летальности 0.87 [39]. </w:t>
      </w:r>
    </w:p>
    <w:p w:rsidR="00537DDE" w:rsidRPr="00454AF9" w:rsidRDefault="00537DDE" w:rsidP="007C004C">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Интенсивный показатель заболеваемости </w:t>
      </w:r>
      <w:r w:rsidRPr="00454AF9">
        <w:rPr>
          <w:rFonts w:ascii="Times New Roman" w:eastAsia="Calibri" w:hAnsi="Times New Roman" w:cs="Times New Roman"/>
          <w:spacing w:val="-4"/>
          <w:sz w:val="28"/>
          <w:szCs w:val="28"/>
          <w:lang w:val="en-US"/>
        </w:rPr>
        <w:t>COVID</w:t>
      </w:r>
      <w:r w:rsidRPr="00454AF9">
        <w:rPr>
          <w:rFonts w:ascii="Times New Roman" w:eastAsia="Calibri" w:hAnsi="Times New Roman" w:cs="Times New Roman"/>
          <w:spacing w:val="-4"/>
          <w:sz w:val="28"/>
          <w:szCs w:val="28"/>
        </w:rPr>
        <w:t xml:space="preserve">-19 в КР, составил 28.71 на 1000 населения, в г.Бишкеке – 86.73, в г.Нарын – 14.38, на Иссык-Куле – 28,04 и в г.Ош – 29.6. Любопытно заметить, что Нарынская область при самом высоком коэффициенте летальности, имеет наименьший относительно указанных регионов интенсивный показатель по заболеваемости </w:t>
      </w:r>
      <w:r w:rsidRPr="00454AF9">
        <w:rPr>
          <w:rFonts w:ascii="Times New Roman" w:eastAsia="Calibri" w:hAnsi="Times New Roman" w:cs="Times New Roman"/>
          <w:spacing w:val="-4"/>
          <w:sz w:val="28"/>
          <w:szCs w:val="28"/>
          <w:lang w:val="en-US"/>
        </w:rPr>
        <w:t>COVID</w:t>
      </w:r>
      <w:r w:rsidRPr="00454AF9">
        <w:rPr>
          <w:rFonts w:ascii="Times New Roman" w:eastAsia="Calibri" w:hAnsi="Times New Roman" w:cs="Times New Roman"/>
          <w:spacing w:val="-4"/>
          <w:sz w:val="28"/>
          <w:szCs w:val="28"/>
        </w:rPr>
        <w:t xml:space="preserve">-19. Эпидемиологические показатели по некоторым странам, приведено в </w:t>
      </w:r>
      <w:r w:rsidR="007C004C" w:rsidRPr="00454AF9">
        <w:rPr>
          <w:rFonts w:ascii="Times New Roman" w:eastAsia="Calibri" w:hAnsi="Times New Roman" w:cs="Times New Roman"/>
          <w:spacing w:val="-4"/>
          <w:sz w:val="28"/>
          <w:szCs w:val="28"/>
        </w:rPr>
        <w:t>т</w:t>
      </w:r>
      <w:r w:rsidRPr="00454AF9">
        <w:rPr>
          <w:rFonts w:ascii="Times New Roman" w:eastAsia="Calibri" w:hAnsi="Times New Roman" w:cs="Times New Roman"/>
          <w:spacing w:val="-4"/>
          <w:sz w:val="28"/>
          <w:szCs w:val="28"/>
        </w:rPr>
        <w:t>абл</w:t>
      </w:r>
      <w:r w:rsidR="007C004C" w:rsidRPr="00454AF9">
        <w:rPr>
          <w:rFonts w:ascii="Times New Roman" w:eastAsia="Calibri" w:hAnsi="Times New Roman" w:cs="Times New Roman"/>
          <w:spacing w:val="-4"/>
          <w:sz w:val="28"/>
          <w:szCs w:val="28"/>
        </w:rPr>
        <w:t xml:space="preserve">ице </w:t>
      </w:r>
      <w:r w:rsidRPr="00454AF9">
        <w:rPr>
          <w:rFonts w:ascii="Times New Roman" w:eastAsia="Calibri" w:hAnsi="Times New Roman" w:cs="Times New Roman"/>
          <w:spacing w:val="-4"/>
          <w:sz w:val="28"/>
          <w:szCs w:val="28"/>
        </w:rPr>
        <w:t>1.</w:t>
      </w:r>
      <w:r w:rsidR="00454AF9" w:rsidRPr="00454AF9">
        <w:rPr>
          <w:rFonts w:ascii="Times New Roman" w:eastAsia="Calibri" w:hAnsi="Times New Roman" w:cs="Times New Roman"/>
          <w:spacing w:val="-4"/>
          <w:sz w:val="28"/>
          <w:szCs w:val="28"/>
        </w:rPr>
        <w:t>2.1</w:t>
      </w:r>
    </w:p>
    <w:p w:rsidR="007C004C" w:rsidRDefault="007C004C" w:rsidP="007C004C">
      <w:pPr>
        <w:spacing w:after="0" w:line="360" w:lineRule="auto"/>
        <w:jc w:val="both"/>
        <w:rPr>
          <w:rFonts w:ascii="Times New Roman" w:eastAsia="Calibri" w:hAnsi="Times New Roman" w:cs="Times New Roman"/>
          <w:sz w:val="28"/>
          <w:szCs w:val="28"/>
        </w:rPr>
      </w:pPr>
    </w:p>
    <w:p w:rsidR="00537DDE" w:rsidRPr="00537DDE" w:rsidRDefault="00537DDE" w:rsidP="007C004C">
      <w:pPr>
        <w:spacing w:after="0" w:line="360" w:lineRule="auto"/>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Табл</w:t>
      </w:r>
      <w:r w:rsidR="007C004C">
        <w:rPr>
          <w:rFonts w:ascii="Times New Roman" w:eastAsia="Calibri" w:hAnsi="Times New Roman" w:cs="Times New Roman"/>
          <w:sz w:val="28"/>
          <w:szCs w:val="28"/>
        </w:rPr>
        <w:t xml:space="preserve">ица </w:t>
      </w:r>
      <w:r w:rsidRPr="00537DDE">
        <w:rPr>
          <w:rFonts w:ascii="Times New Roman" w:eastAsia="Calibri" w:hAnsi="Times New Roman" w:cs="Times New Roman"/>
          <w:sz w:val="28"/>
          <w:szCs w:val="28"/>
        </w:rPr>
        <w:t>1</w:t>
      </w:r>
      <w:r w:rsidR="00454AF9">
        <w:rPr>
          <w:rFonts w:ascii="Times New Roman" w:eastAsia="Calibri" w:hAnsi="Times New Roman" w:cs="Times New Roman"/>
          <w:sz w:val="28"/>
          <w:szCs w:val="28"/>
        </w:rPr>
        <w:t>.2.1</w:t>
      </w:r>
      <w:r w:rsidR="007C004C">
        <w:rPr>
          <w:rFonts w:ascii="Times New Roman" w:eastAsia="Calibri" w:hAnsi="Times New Roman" w:cs="Times New Roman"/>
          <w:sz w:val="28"/>
          <w:szCs w:val="28"/>
        </w:rPr>
        <w:t xml:space="preserve"> ‒</w:t>
      </w:r>
      <w:r w:rsidRPr="00537DDE">
        <w:rPr>
          <w:rFonts w:ascii="Times New Roman" w:eastAsia="Calibri" w:hAnsi="Times New Roman" w:cs="Times New Roman"/>
          <w:sz w:val="28"/>
          <w:szCs w:val="28"/>
        </w:rPr>
        <w:t xml:space="preserve"> Эпидемиологические показатели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-19 в странах ближнего и дальнего зарубежья.</w:t>
      </w:r>
    </w:p>
    <w:tbl>
      <w:tblPr>
        <w:tblStyle w:val="a3"/>
        <w:tblW w:w="0" w:type="auto"/>
        <w:tblLook w:val="04A0" w:firstRow="1" w:lastRow="0" w:firstColumn="1" w:lastColumn="0" w:noHBand="0" w:noVBand="1"/>
      </w:tblPr>
      <w:tblGrid>
        <w:gridCol w:w="2073"/>
        <w:gridCol w:w="1304"/>
        <w:gridCol w:w="1722"/>
        <w:gridCol w:w="1519"/>
        <w:gridCol w:w="1639"/>
        <w:gridCol w:w="1597"/>
      </w:tblGrid>
      <w:tr w:rsidR="00537DDE" w:rsidRPr="00537DDE" w:rsidTr="00FF46DF">
        <w:trPr>
          <w:trHeight w:val="288"/>
        </w:trPr>
        <w:tc>
          <w:tcPr>
            <w:tcW w:w="9912" w:type="dxa"/>
            <w:gridSpan w:val="6"/>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center"/>
              <w:rPr>
                <w:rFonts w:ascii="Times New Roman" w:hAnsi="Times New Roman"/>
                <w:sz w:val="24"/>
                <w:szCs w:val="24"/>
              </w:rPr>
            </w:pPr>
            <w:r w:rsidRPr="00FF46DF">
              <w:rPr>
                <w:rFonts w:ascii="Times New Roman" w:hAnsi="Times New Roman"/>
                <w:sz w:val="24"/>
                <w:szCs w:val="24"/>
              </w:rPr>
              <w:t>Пандемия COVID-19 по странам, 01 декабря 2022 года</w:t>
            </w:r>
          </w:p>
        </w:tc>
      </w:tr>
      <w:tr w:rsidR="00FF46DF" w:rsidRPr="00537DDE" w:rsidTr="00FF46DF">
        <w:trPr>
          <w:trHeight w:val="288"/>
        </w:trPr>
        <w:tc>
          <w:tcPr>
            <w:tcW w:w="208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center"/>
              <w:rPr>
                <w:rFonts w:ascii="Times New Roman" w:hAnsi="Times New Roman"/>
                <w:sz w:val="24"/>
                <w:szCs w:val="24"/>
              </w:rPr>
            </w:pPr>
            <w:r w:rsidRPr="00FF46DF">
              <w:rPr>
                <w:rFonts w:ascii="Times New Roman" w:hAnsi="Times New Roman"/>
                <w:sz w:val="24"/>
                <w:szCs w:val="24"/>
              </w:rPr>
              <w:t>Страны и территории</w:t>
            </w:r>
          </w:p>
        </w:tc>
        <w:tc>
          <w:tcPr>
            <w:tcW w:w="1311"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Заражено</w:t>
            </w:r>
          </w:p>
        </w:tc>
        <w:tc>
          <w:tcPr>
            <w:tcW w:w="1732"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Выздоровело</w:t>
            </w:r>
          </w:p>
        </w:tc>
        <w:tc>
          <w:tcPr>
            <w:tcW w:w="1528"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Скончалось</w:t>
            </w:r>
          </w:p>
        </w:tc>
        <w:tc>
          <w:tcPr>
            <w:tcW w:w="1649"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 xml:space="preserve">Летальность </w:t>
            </w:r>
          </w:p>
        </w:tc>
        <w:tc>
          <w:tcPr>
            <w:tcW w:w="160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интенсивный показатель на 1000</w:t>
            </w:r>
          </w:p>
        </w:tc>
      </w:tr>
      <w:tr w:rsidR="00FF46DF" w:rsidRPr="00537DDE" w:rsidTr="00FF46DF">
        <w:trPr>
          <w:trHeight w:val="288"/>
        </w:trPr>
        <w:tc>
          <w:tcPr>
            <w:tcW w:w="208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center"/>
              <w:rPr>
                <w:rFonts w:ascii="Times New Roman" w:hAnsi="Times New Roman"/>
                <w:sz w:val="24"/>
                <w:szCs w:val="24"/>
                <w:lang w:val="en-US"/>
              </w:rPr>
            </w:pPr>
            <w:r w:rsidRPr="00FF46DF">
              <w:rPr>
                <w:rFonts w:ascii="Times New Roman" w:hAnsi="Times New Roman"/>
                <w:sz w:val="24"/>
                <w:szCs w:val="24"/>
              </w:rPr>
              <w:t>Соединённые Штаты Америки</w:t>
            </w:r>
            <w:r w:rsidRPr="00FF46DF">
              <w:rPr>
                <w:rFonts w:ascii="Times New Roman" w:hAnsi="Times New Roman"/>
                <w:sz w:val="24"/>
                <w:szCs w:val="24"/>
                <w:lang w:val="en-US"/>
              </w:rPr>
              <w:t xml:space="preserve">   [41, 42]</w:t>
            </w:r>
          </w:p>
        </w:tc>
        <w:tc>
          <w:tcPr>
            <w:tcW w:w="1311" w:type="dxa"/>
            <w:tcBorders>
              <w:top w:val="single" w:sz="4" w:space="0" w:color="auto"/>
              <w:left w:val="single" w:sz="4" w:space="0" w:color="auto"/>
              <w:bottom w:val="single" w:sz="4" w:space="0" w:color="auto"/>
              <w:right w:val="single" w:sz="4" w:space="0" w:color="auto"/>
            </w:tcBorders>
            <w:noWrap/>
            <w:hideMark/>
          </w:tcPr>
          <w:p w:rsidR="00537DDE" w:rsidRPr="00FF46DF" w:rsidRDefault="00FF46DF" w:rsidP="00FF46DF">
            <w:pPr>
              <w:spacing w:line="360" w:lineRule="auto"/>
              <w:ind w:hanging="57"/>
              <w:jc w:val="both"/>
              <w:rPr>
                <w:rFonts w:ascii="Times New Roman" w:hAnsi="Times New Roman"/>
                <w:sz w:val="24"/>
                <w:szCs w:val="24"/>
              </w:rPr>
            </w:pPr>
            <w:r>
              <w:rPr>
                <w:rFonts w:ascii="Times New Roman" w:hAnsi="Times New Roman"/>
                <w:sz w:val="24"/>
                <w:szCs w:val="24"/>
              </w:rPr>
              <w:t>100743</w:t>
            </w:r>
            <w:r w:rsidR="00537DDE" w:rsidRPr="00FF46DF">
              <w:rPr>
                <w:rFonts w:ascii="Times New Roman" w:hAnsi="Times New Roman"/>
                <w:sz w:val="24"/>
                <w:szCs w:val="24"/>
              </w:rPr>
              <w:t>39</w:t>
            </w:r>
            <w:r>
              <w:rPr>
                <w:rFonts w:ascii="Times New Roman" w:hAnsi="Times New Roman"/>
                <w:sz w:val="24"/>
                <w:szCs w:val="24"/>
              </w:rPr>
              <w:t>2</w:t>
            </w:r>
          </w:p>
        </w:tc>
        <w:tc>
          <w:tcPr>
            <w:tcW w:w="1732"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98 191 251</w:t>
            </w:r>
          </w:p>
        </w:tc>
        <w:tc>
          <w:tcPr>
            <w:tcW w:w="1528"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1 106 378</w:t>
            </w:r>
          </w:p>
        </w:tc>
        <w:tc>
          <w:tcPr>
            <w:tcW w:w="1649"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0,011</w:t>
            </w:r>
          </w:p>
        </w:tc>
        <w:tc>
          <w:tcPr>
            <w:tcW w:w="160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301</w:t>
            </w:r>
          </w:p>
        </w:tc>
      </w:tr>
      <w:tr w:rsidR="00FF46DF" w:rsidRPr="00537DDE" w:rsidTr="00FF46DF">
        <w:trPr>
          <w:trHeight w:val="288"/>
        </w:trPr>
        <w:tc>
          <w:tcPr>
            <w:tcW w:w="208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center"/>
              <w:rPr>
                <w:rFonts w:ascii="Times New Roman" w:hAnsi="Times New Roman"/>
                <w:sz w:val="24"/>
                <w:szCs w:val="24"/>
                <w:lang w:val="en-US"/>
              </w:rPr>
            </w:pPr>
            <w:r w:rsidRPr="00FF46DF">
              <w:rPr>
                <w:rFonts w:ascii="Times New Roman" w:hAnsi="Times New Roman"/>
                <w:sz w:val="24"/>
                <w:szCs w:val="24"/>
              </w:rPr>
              <w:t>Индия</w:t>
            </w:r>
            <w:r w:rsidRPr="00FF46DF">
              <w:rPr>
                <w:rFonts w:ascii="Times New Roman" w:hAnsi="Times New Roman"/>
                <w:sz w:val="24"/>
                <w:szCs w:val="24"/>
                <w:lang w:val="en-US"/>
              </w:rPr>
              <w:t xml:space="preserve"> [43]</w:t>
            </w:r>
          </w:p>
        </w:tc>
        <w:tc>
          <w:tcPr>
            <w:tcW w:w="1311"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FF46DF">
            <w:pPr>
              <w:spacing w:line="360" w:lineRule="auto"/>
              <w:ind w:hanging="69"/>
              <w:jc w:val="both"/>
              <w:rPr>
                <w:rFonts w:ascii="Times New Roman" w:hAnsi="Times New Roman"/>
                <w:sz w:val="24"/>
                <w:szCs w:val="24"/>
              </w:rPr>
            </w:pPr>
            <w:r w:rsidRPr="00FF46DF">
              <w:rPr>
                <w:rFonts w:ascii="Times New Roman" w:hAnsi="Times New Roman"/>
                <w:sz w:val="24"/>
                <w:szCs w:val="24"/>
              </w:rPr>
              <w:t>44673984</w:t>
            </w:r>
          </w:p>
        </w:tc>
        <w:tc>
          <w:tcPr>
            <w:tcW w:w="1732"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44 137 617</w:t>
            </w:r>
          </w:p>
        </w:tc>
        <w:tc>
          <w:tcPr>
            <w:tcW w:w="1528"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530 624</w:t>
            </w:r>
          </w:p>
        </w:tc>
        <w:tc>
          <w:tcPr>
            <w:tcW w:w="1649"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1,188</w:t>
            </w:r>
          </w:p>
        </w:tc>
        <w:tc>
          <w:tcPr>
            <w:tcW w:w="160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32</w:t>
            </w:r>
          </w:p>
        </w:tc>
      </w:tr>
      <w:tr w:rsidR="00FF46DF" w:rsidRPr="00537DDE" w:rsidTr="00FF46DF">
        <w:trPr>
          <w:trHeight w:val="288"/>
        </w:trPr>
        <w:tc>
          <w:tcPr>
            <w:tcW w:w="208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center"/>
              <w:rPr>
                <w:rFonts w:ascii="Times New Roman" w:hAnsi="Times New Roman"/>
                <w:sz w:val="24"/>
                <w:szCs w:val="24"/>
                <w:lang w:val="en-US"/>
              </w:rPr>
            </w:pPr>
            <w:r w:rsidRPr="00FF46DF">
              <w:rPr>
                <w:rFonts w:ascii="Times New Roman" w:hAnsi="Times New Roman"/>
                <w:sz w:val="24"/>
                <w:szCs w:val="24"/>
              </w:rPr>
              <w:t>Франция</w:t>
            </w:r>
            <w:r w:rsidRPr="00FF46DF">
              <w:rPr>
                <w:rFonts w:ascii="Times New Roman" w:hAnsi="Times New Roman"/>
                <w:sz w:val="24"/>
                <w:szCs w:val="24"/>
                <w:lang w:val="en-US"/>
              </w:rPr>
              <w:t xml:space="preserve"> [44,45]</w:t>
            </w:r>
          </w:p>
        </w:tc>
        <w:tc>
          <w:tcPr>
            <w:tcW w:w="1311"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FF46DF">
            <w:pPr>
              <w:spacing w:line="360" w:lineRule="auto"/>
              <w:ind w:hanging="69"/>
              <w:jc w:val="both"/>
              <w:rPr>
                <w:rFonts w:ascii="Times New Roman" w:hAnsi="Times New Roman"/>
                <w:sz w:val="24"/>
                <w:szCs w:val="24"/>
              </w:rPr>
            </w:pPr>
            <w:r w:rsidRPr="00FF46DF">
              <w:rPr>
                <w:rFonts w:ascii="Times New Roman" w:hAnsi="Times New Roman"/>
                <w:sz w:val="24"/>
                <w:szCs w:val="24"/>
              </w:rPr>
              <w:t>37916052</w:t>
            </w:r>
          </w:p>
        </w:tc>
        <w:tc>
          <w:tcPr>
            <w:tcW w:w="1732"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36 935 415</w:t>
            </w:r>
          </w:p>
        </w:tc>
        <w:tc>
          <w:tcPr>
            <w:tcW w:w="1528"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159 026</w:t>
            </w:r>
          </w:p>
        </w:tc>
        <w:tc>
          <w:tcPr>
            <w:tcW w:w="1649"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0,419</w:t>
            </w:r>
          </w:p>
        </w:tc>
        <w:tc>
          <w:tcPr>
            <w:tcW w:w="160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578</w:t>
            </w:r>
          </w:p>
        </w:tc>
      </w:tr>
      <w:tr w:rsidR="00FF46DF" w:rsidRPr="00537DDE" w:rsidTr="00FF46DF">
        <w:trPr>
          <w:trHeight w:val="288"/>
        </w:trPr>
        <w:tc>
          <w:tcPr>
            <w:tcW w:w="208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center"/>
              <w:rPr>
                <w:rFonts w:ascii="Times New Roman" w:hAnsi="Times New Roman"/>
                <w:sz w:val="24"/>
                <w:szCs w:val="24"/>
                <w:lang w:val="en-US"/>
              </w:rPr>
            </w:pPr>
            <w:r w:rsidRPr="00FF46DF">
              <w:rPr>
                <w:rFonts w:ascii="Times New Roman" w:hAnsi="Times New Roman"/>
                <w:sz w:val="24"/>
                <w:szCs w:val="24"/>
              </w:rPr>
              <w:t>Германия</w:t>
            </w:r>
            <w:r w:rsidRPr="00FF46DF">
              <w:rPr>
                <w:rFonts w:ascii="Times New Roman" w:hAnsi="Times New Roman"/>
                <w:sz w:val="24"/>
                <w:szCs w:val="24"/>
                <w:lang w:val="en-US"/>
              </w:rPr>
              <w:t xml:space="preserve"> [46]</w:t>
            </w:r>
          </w:p>
        </w:tc>
        <w:tc>
          <w:tcPr>
            <w:tcW w:w="1311"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FF46DF">
            <w:pPr>
              <w:spacing w:line="360" w:lineRule="auto"/>
              <w:ind w:hanging="69"/>
              <w:jc w:val="both"/>
              <w:rPr>
                <w:rFonts w:ascii="Times New Roman" w:hAnsi="Times New Roman"/>
                <w:sz w:val="24"/>
                <w:szCs w:val="24"/>
              </w:rPr>
            </w:pPr>
            <w:r w:rsidRPr="00FF46DF">
              <w:rPr>
                <w:rFonts w:ascii="Times New Roman" w:hAnsi="Times New Roman"/>
                <w:sz w:val="24"/>
                <w:szCs w:val="24"/>
              </w:rPr>
              <w:t>36530020</w:t>
            </w:r>
          </w:p>
        </w:tc>
        <w:tc>
          <w:tcPr>
            <w:tcW w:w="1732"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35 853 000</w:t>
            </w:r>
          </w:p>
        </w:tc>
        <w:tc>
          <w:tcPr>
            <w:tcW w:w="1528"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158 109</w:t>
            </w:r>
          </w:p>
        </w:tc>
        <w:tc>
          <w:tcPr>
            <w:tcW w:w="1649"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0,433</w:t>
            </w:r>
          </w:p>
        </w:tc>
        <w:tc>
          <w:tcPr>
            <w:tcW w:w="160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435</w:t>
            </w:r>
          </w:p>
        </w:tc>
      </w:tr>
      <w:tr w:rsidR="00FF46DF" w:rsidRPr="00537DDE" w:rsidTr="00FF46DF">
        <w:trPr>
          <w:trHeight w:val="288"/>
        </w:trPr>
        <w:tc>
          <w:tcPr>
            <w:tcW w:w="208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center"/>
              <w:rPr>
                <w:rFonts w:ascii="Times New Roman" w:hAnsi="Times New Roman"/>
                <w:sz w:val="24"/>
                <w:szCs w:val="24"/>
                <w:lang w:val="en-US"/>
              </w:rPr>
            </w:pPr>
            <w:r w:rsidRPr="00FF46DF">
              <w:rPr>
                <w:rFonts w:ascii="Times New Roman" w:hAnsi="Times New Roman"/>
                <w:sz w:val="24"/>
                <w:szCs w:val="24"/>
              </w:rPr>
              <w:t>Бразилия</w:t>
            </w:r>
            <w:r w:rsidRPr="00FF46DF">
              <w:rPr>
                <w:rFonts w:ascii="Times New Roman" w:hAnsi="Times New Roman"/>
                <w:sz w:val="24"/>
                <w:szCs w:val="24"/>
                <w:lang w:val="en-US"/>
              </w:rPr>
              <w:t xml:space="preserve"> [47]</w:t>
            </w:r>
          </w:p>
        </w:tc>
        <w:tc>
          <w:tcPr>
            <w:tcW w:w="1311"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FF46DF">
            <w:pPr>
              <w:spacing w:line="360" w:lineRule="auto"/>
              <w:ind w:hanging="69"/>
              <w:jc w:val="both"/>
              <w:rPr>
                <w:rFonts w:ascii="Times New Roman" w:hAnsi="Times New Roman"/>
                <w:sz w:val="24"/>
                <w:szCs w:val="24"/>
              </w:rPr>
            </w:pPr>
            <w:r w:rsidRPr="00FF46DF">
              <w:rPr>
                <w:rFonts w:ascii="Times New Roman" w:hAnsi="Times New Roman"/>
                <w:sz w:val="24"/>
                <w:szCs w:val="24"/>
              </w:rPr>
              <w:t>35336482</w:t>
            </w:r>
          </w:p>
        </w:tc>
        <w:tc>
          <w:tcPr>
            <w:tcW w:w="1732"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34 257 388</w:t>
            </w:r>
          </w:p>
        </w:tc>
        <w:tc>
          <w:tcPr>
            <w:tcW w:w="1528"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689 998</w:t>
            </w:r>
          </w:p>
        </w:tc>
        <w:tc>
          <w:tcPr>
            <w:tcW w:w="1649"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1,953</w:t>
            </w:r>
          </w:p>
        </w:tc>
        <w:tc>
          <w:tcPr>
            <w:tcW w:w="160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164</w:t>
            </w:r>
          </w:p>
        </w:tc>
      </w:tr>
      <w:tr w:rsidR="00FF46DF" w:rsidRPr="00537DDE" w:rsidTr="00FF46DF">
        <w:trPr>
          <w:trHeight w:val="288"/>
        </w:trPr>
        <w:tc>
          <w:tcPr>
            <w:tcW w:w="208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center"/>
              <w:rPr>
                <w:rFonts w:ascii="Times New Roman" w:hAnsi="Times New Roman"/>
                <w:sz w:val="24"/>
                <w:szCs w:val="24"/>
                <w:lang w:val="en-US"/>
              </w:rPr>
            </w:pPr>
            <w:r w:rsidRPr="00FF46DF">
              <w:rPr>
                <w:rFonts w:ascii="Times New Roman" w:hAnsi="Times New Roman"/>
                <w:sz w:val="24"/>
                <w:szCs w:val="24"/>
              </w:rPr>
              <w:t>Республика Корея</w:t>
            </w:r>
            <w:r w:rsidRPr="00FF46DF">
              <w:rPr>
                <w:rFonts w:ascii="Times New Roman" w:hAnsi="Times New Roman"/>
                <w:sz w:val="24"/>
                <w:szCs w:val="24"/>
                <w:lang w:val="en-US"/>
              </w:rPr>
              <w:t xml:space="preserve"> [48]</w:t>
            </w:r>
          </w:p>
        </w:tc>
        <w:tc>
          <w:tcPr>
            <w:tcW w:w="1311"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FF46DF">
            <w:pPr>
              <w:spacing w:line="360" w:lineRule="auto"/>
              <w:ind w:hanging="69"/>
              <w:jc w:val="both"/>
              <w:rPr>
                <w:rFonts w:ascii="Times New Roman" w:hAnsi="Times New Roman"/>
                <w:sz w:val="24"/>
                <w:szCs w:val="24"/>
              </w:rPr>
            </w:pPr>
            <w:r w:rsidRPr="00FF46DF">
              <w:rPr>
                <w:rFonts w:ascii="Times New Roman" w:hAnsi="Times New Roman"/>
                <w:sz w:val="24"/>
                <w:szCs w:val="24"/>
              </w:rPr>
              <w:t>27208800</w:t>
            </w:r>
          </w:p>
        </w:tc>
        <w:tc>
          <w:tcPr>
            <w:tcW w:w="1732"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26 187 426</w:t>
            </w:r>
          </w:p>
        </w:tc>
        <w:tc>
          <w:tcPr>
            <w:tcW w:w="1528"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30 621</w:t>
            </w:r>
          </w:p>
        </w:tc>
        <w:tc>
          <w:tcPr>
            <w:tcW w:w="1649"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0,113</w:t>
            </w:r>
          </w:p>
        </w:tc>
        <w:tc>
          <w:tcPr>
            <w:tcW w:w="160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530</w:t>
            </w:r>
          </w:p>
        </w:tc>
      </w:tr>
      <w:tr w:rsidR="00FF46DF" w:rsidRPr="00537DDE" w:rsidTr="00FF46DF">
        <w:trPr>
          <w:trHeight w:val="288"/>
        </w:trPr>
        <w:tc>
          <w:tcPr>
            <w:tcW w:w="208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center"/>
              <w:rPr>
                <w:rFonts w:ascii="Times New Roman" w:hAnsi="Times New Roman"/>
                <w:sz w:val="24"/>
                <w:szCs w:val="24"/>
                <w:lang w:val="en-US"/>
              </w:rPr>
            </w:pPr>
            <w:r w:rsidRPr="00FF46DF">
              <w:rPr>
                <w:rFonts w:ascii="Times New Roman" w:hAnsi="Times New Roman"/>
                <w:sz w:val="24"/>
                <w:szCs w:val="24"/>
              </w:rPr>
              <w:t>Япония</w:t>
            </w:r>
            <w:r w:rsidRPr="00FF46DF">
              <w:rPr>
                <w:rFonts w:ascii="Times New Roman" w:hAnsi="Times New Roman"/>
                <w:sz w:val="24"/>
                <w:szCs w:val="24"/>
                <w:lang w:val="en-US"/>
              </w:rPr>
              <w:t xml:space="preserve"> [49]</w:t>
            </w:r>
          </w:p>
        </w:tc>
        <w:tc>
          <w:tcPr>
            <w:tcW w:w="1311"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FF46DF">
            <w:pPr>
              <w:spacing w:line="360" w:lineRule="auto"/>
              <w:ind w:firstLine="34"/>
              <w:jc w:val="both"/>
              <w:rPr>
                <w:rFonts w:ascii="Times New Roman" w:hAnsi="Times New Roman"/>
                <w:sz w:val="24"/>
                <w:szCs w:val="24"/>
              </w:rPr>
            </w:pPr>
            <w:r w:rsidRPr="00FF46DF">
              <w:rPr>
                <w:rFonts w:ascii="Times New Roman" w:hAnsi="Times New Roman"/>
                <w:sz w:val="24"/>
                <w:szCs w:val="24"/>
              </w:rPr>
              <w:t>24911367</w:t>
            </w:r>
          </w:p>
        </w:tc>
        <w:tc>
          <w:tcPr>
            <w:tcW w:w="1732"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20 713 863</w:t>
            </w:r>
          </w:p>
        </w:tc>
        <w:tc>
          <w:tcPr>
            <w:tcW w:w="1528"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49 826</w:t>
            </w:r>
          </w:p>
        </w:tc>
        <w:tc>
          <w:tcPr>
            <w:tcW w:w="1649"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0,2</w:t>
            </w:r>
          </w:p>
        </w:tc>
        <w:tc>
          <w:tcPr>
            <w:tcW w:w="160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198</w:t>
            </w:r>
          </w:p>
        </w:tc>
      </w:tr>
      <w:tr w:rsidR="00FF46DF" w:rsidRPr="00537DDE" w:rsidTr="00FF46DF">
        <w:trPr>
          <w:trHeight w:val="288"/>
        </w:trPr>
        <w:tc>
          <w:tcPr>
            <w:tcW w:w="208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center"/>
              <w:rPr>
                <w:rFonts w:ascii="Times New Roman" w:hAnsi="Times New Roman"/>
                <w:sz w:val="24"/>
                <w:szCs w:val="24"/>
                <w:lang w:val="en-US"/>
              </w:rPr>
            </w:pPr>
            <w:r w:rsidRPr="00FF46DF">
              <w:rPr>
                <w:rFonts w:ascii="Times New Roman" w:hAnsi="Times New Roman"/>
                <w:sz w:val="24"/>
                <w:szCs w:val="24"/>
              </w:rPr>
              <w:t>Италия</w:t>
            </w:r>
            <w:r w:rsidRPr="00FF46DF">
              <w:rPr>
                <w:rFonts w:ascii="Times New Roman" w:hAnsi="Times New Roman"/>
                <w:sz w:val="24"/>
                <w:szCs w:val="24"/>
                <w:lang w:val="en-US"/>
              </w:rPr>
              <w:t xml:space="preserve"> [50]</w:t>
            </w:r>
          </w:p>
        </w:tc>
        <w:tc>
          <w:tcPr>
            <w:tcW w:w="1311"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FF46DF">
            <w:pPr>
              <w:spacing w:line="360" w:lineRule="auto"/>
              <w:ind w:firstLine="34"/>
              <w:jc w:val="both"/>
              <w:rPr>
                <w:rFonts w:ascii="Times New Roman" w:hAnsi="Times New Roman"/>
                <w:sz w:val="24"/>
                <w:szCs w:val="24"/>
              </w:rPr>
            </w:pPr>
            <w:r w:rsidRPr="00FF46DF">
              <w:rPr>
                <w:rFonts w:ascii="Times New Roman" w:hAnsi="Times New Roman"/>
                <w:sz w:val="24"/>
                <w:szCs w:val="24"/>
              </w:rPr>
              <w:t>24260660</w:t>
            </w:r>
          </w:p>
        </w:tc>
        <w:tc>
          <w:tcPr>
            <w:tcW w:w="1732"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23 587 105</w:t>
            </w:r>
          </w:p>
        </w:tc>
        <w:tc>
          <w:tcPr>
            <w:tcW w:w="1528"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181 098</w:t>
            </w:r>
          </w:p>
        </w:tc>
        <w:tc>
          <w:tcPr>
            <w:tcW w:w="1649"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0,746</w:t>
            </w:r>
          </w:p>
        </w:tc>
        <w:tc>
          <w:tcPr>
            <w:tcW w:w="160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402</w:t>
            </w:r>
          </w:p>
        </w:tc>
      </w:tr>
      <w:tr w:rsidR="00FF46DF" w:rsidRPr="00537DDE" w:rsidTr="00FF46DF">
        <w:trPr>
          <w:trHeight w:val="288"/>
        </w:trPr>
        <w:tc>
          <w:tcPr>
            <w:tcW w:w="208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center"/>
              <w:rPr>
                <w:rFonts w:ascii="Times New Roman" w:hAnsi="Times New Roman"/>
                <w:sz w:val="24"/>
                <w:szCs w:val="24"/>
                <w:lang w:val="en-US"/>
              </w:rPr>
            </w:pPr>
            <w:r w:rsidRPr="00FF46DF">
              <w:rPr>
                <w:rFonts w:ascii="Times New Roman" w:hAnsi="Times New Roman"/>
                <w:sz w:val="24"/>
                <w:szCs w:val="24"/>
              </w:rPr>
              <w:t>Великобритания</w:t>
            </w:r>
            <w:r w:rsidRPr="00FF46DF">
              <w:rPr>
                <w:rFonts w:ascii="Times New Roman" w:hAnsi="Times New Roman"/>
                <w:sz w:val="24"/>
                <w:szCs w:val="24"/>
                <w:lang w:val="en-US"/>
              </w:rPr>
              <w:t xml:space="preserve"> [51]</w:t>
            </w:r>
          </w:p>
        </w:tc>
        <w:tc>
          <w:tcPr>
            <w:tcW w:w="1311"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FF46DF">
            <w:pPr>
              <w:spacing w:line="360" w:lineRule="auto"/>
              <w:ind w:firstLine="34"/>
              <w:jc w:val="both"/>
              <w:rPr>
                <w:rFonts w:ascii="Times New Roman" w:hAnsi="Times New Roman"/>
                <w:sz w:val="24"/>
                <w:szCs w:val="24"/>
              </w:rPr>
            </w:pPr>
            <w:r w:rsidRPr="00FF46DF">
              <w:rPr>
                <w:rFonts w:ascii="Times New Roman" w:hAnsi="Times New Roman"/>
                <w:sz w:val="24"/>
                <w:szCs w:val="24"/>
              </w:rPr>
              <w:t>24000101</w:t>
            </w:r>
          </w:p>
        </w:tc>
        <w:tc>
          <w:tcPr>
            <w:tcW w:w="1732"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23 744 855</w:t>
            </w:r>
          </w:p>
        </w:tc>
        <w:tc>
          <w:tcPr>
            <w:tcW w:w="1528"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196 821</w:t>
            </w:r>
          </w:p>
        </w:tc>
        <w:tc>
          <w:tcPr>
            <w:tcW w:w="1649"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0,82</w:t>
            </w:r>
          </w:p>
        </w:tc>
        <w:tc>
          <w:tcPr>
            <w:tcW w:w="160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350</w:t>
            </w:r>
          </w:p>
        </w:tc>
      </w:tr>
      <w:tr w:rsidR="00FF46DF" w:rsidRPr="00537DDE" w:rsidTr="00FF46DF">
        <w:trPr>
          <w:trHeight w:val="288"/>
        </w:trPr>
        <w:tc>
          <w:tcPr>
            <w:tcW w:w="208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center"/>
              <w:rPr>
                <w:rFonts w:ascii="Times New Roman" w:hAnsi="Times New Roman"/>
                <w:sz w:val="24"/>
                <w:szCs w:val="24"/>
                <w:lang w:val="en-US"/>
              </w:rPr>
            </w:pPr>
            <w:r w:rsidRPr="00FF46DF">
              <w:rPr>
                <w:rFonts w:ascii="Times New Roman" w:hAnsi="Times New Roman"/>
                <w:sz w:val="24"/>
                <w:szCs w:val="24"/>
              </w:rPr>
              <w:t>Россия</w:t>
            </w:r>
            <w:r w:rsidRPr="00FF46DF">
              <w:rPr>
                <w:rFonts w:ascii="Times New Roman" w:hAnsi="Times New Roman"/>
                <w:sz w:val="24"/>
                <w:szCs w:val="24"/>
                <w:lang w:val="en-US"/>
              </w:rPr>
              <w:t xml:space="preserve"> [52]</w:t>
            </w:r>
          </w:p>
        </w:tc>
        <w:tc>
          <w:tcPr>
            <w:tcW w:w="1311"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FF46DF">
            <w:pPr>
              <w:spacing w:line="360" w:lineRule="auto"/>
              <w:ind w:firstLine="34"/>
              <w:jc w:val="both"/>
              <w:rPr>
                <w:rFonts w:ascii="Times New Roman" w:hAnsi="Times New Roman"/>
                <w:sz w:val="24"/>
                <w:szCs w:val="24"/>
              </w:rPr>
            </w:pPr>
            <w:r w:rsidRPr="00FF46DF">
              <w:rPr>
                <w:rFonts w:ascii="Times New Roman" w:hAnsi="Times New Roman"/>
                <w:sz w:val="24"/>
                <w:szCs w:val="24"/>
              </w:rPr>
              <w:t>21597613</w:t>
            </w:r>
          </w:p>
        </w:tc>
        <w:tc>
          <w:tcPr>
            <w:tcW w:w="1732"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21 003 575</w:t>
            </w:r>
          </w:p>
        </w:tc>
        <w:tc>
          <w:tcPr>
            <w:tcW w:w="1528"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39 206</w:t>
            </w:r>
          </w:p>
        </w:tc>
        <w:tc>
          <w:tcPr>
            <w:tcW w:w="1649"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0,182</w:t>
            </w:r>
          </w:p>
        </w:tc>
        <w:tc>
          <w:tcPr>
            <w:tcW w:w="160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148</w:t>
            </w:r>
          </w:p>
        </w:tc>
      </w:tr>
      <w:tr w:rsidR="00FF46DF" w:rsidRPr="00537DDE" w:rsidTr="00FF46DF">
        <w:trPr>
          <w:trHeight w:val="288"/>
        </w:trPr>
        <w:tc>
          <w:tcPr>
            <w:tcW w:w="208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center"/>
              <w:rPr>
                <w:rFonts w:ascii="Times New Roman" w:hAnsi="Times New Roman"/>
                <w:sz w:val="24"/>
                <w:szCs w:val="24"/>
                <w:lang w:val="en-US"/>
              </w:rPr>
            </w:pPr>
            <w:r w:rsidRPr="00FF46DF">
              <w:rPr>
                <w:rFonts w:ascii="Times New Roman" w:hAnsi="Times New Roman"/>
                <w:sz w:val="24"/>
                <w:szCs w:val="24"/>
              </w:rPr>
              <w:t>Турция</w:t>
            </w:r>
            <w:r w:rsidRPr="00FF46DF">
              <w:rPr>
                <w:rFonts w:ascii="Times New Roman" w:hAnsi="Times New Roman"/>
                <w:sz w:val="24"/>
                <w:szCs w:val="24"/>
                <w:lang w:val="en-US"/>
              </w:rPr>
              <w:t xml:space="preserve"> [53]</w:t>
            </w:r>
          </w:p>
        </w:tc>
        <w:tc>
          <w:tcPr>
            <w:tcW w:w="1311"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FF46DF">
            <w:pPr>
              <w:spacing w:line="360" w:lineRule="auto"/>
              <w:ind w:firstLine="34"/>
              <w:jc w:val="both"/>
              <w:rPr>
                <w:rFonts w:ascii="Times New Roman" w:hAnsi="Times New Roman"/>
                <w:sz w:val="24"/>
                <w:szCs w:val="24"/>
              </w:rPr>
            </w:pPr>
            <w:r w:rsidRPr="00FF46DF">
              <w:rPr>
                <w:rFonts w:ascii="Times New Roman" w:hAnsi="Times New Roman"/>
                <w:sz w:val="24"/>
                <w:szCs w:val="24"/>
              </w:rPr>
              <w:t>17005537</w:t>
            </w:r>
          </w:p>
        </w:tc>
        <w:tc>
          <w:tcPr>
            <w:tcW w:w="1732"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16 904 137</w:t>
            </w:r>
          </w:p>
        </w:tc>
        <w:tc>
          <w:tcPr>
            <w:tcW w:w="1528"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101 400</w:t>
            </w:r>
          </w:p>
        </w:tc>
        <w:tc>
          <w:tcPr>
            <w:tcW w:w="1649"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0,596</w:t>
            </w:r>
          </w:p>
        </w:tc>
        <w:tc>
          <w:tcPr>
            <w:tcW w:w="1606" w:type="dxa"/>
            <w:tcBorders>
              <w:top w:val="single" w:sz="4" w:space="0" w:color="auto"/>
              <w:left w:val="single" w:sz="4" w:space="0" w:color="auto"/>
              <w:bottom w:val="single" w:sz="4" w:space="0" w:color="auto"/>
              <w:right w:val="single" w:sz="4" w:space="0" w:color="auto"/>
            </w:tcBorders>
            <w:noWrap/>
            <w:hideMark/>
          </w:tcPr>
          <w:p w:rsidR="00537DDE" w:rsidRPr="00FF46DF" w:rsidRDefault="00537DDE" w:rsidP="00537DDE">
            <w:pPr>
              <w:spacing w:line="360" w:lineRule="auto"/>
              <w:ind w:firstLine="34"/>
              <w:jc w:val="both"/>
              <w:rPr>
                <w:rFonts w:ascii="Times New Roman" w:hAnsi="Times New Roman"/>
                <w:sz w:val="24"/>
                <w:szCs w:val="24"/>
              </w:rPr>
            </w:pPr>
            <w:r w:rsidRPr="00FF46DF">
              <w:rPr>
                <w:rFonts w:ascii="Times New Roman" w:hAnsi="Times New Roman"/>
                <w:sz w:val="24"/>
                <w:szCs w:val="24"/>
              </w:rPr>
              <w:t>198</w:t>
            </w:r>
          </w:p>
        </w:tc>
      </w:tr>
    </w:tbl>
    <w:p w:rsidR="00537DDE" w:rsidRP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lastRenderedPageBreak/>
        <w:t>Из таблицы 1</w:t>
      </w:r>
      <w:r w:rsidR="00454AF9">
        <w:rPr>
          <w:rFonts w:ascii="Times New Roman" w:eastAsia="Calibri" w:hAnsi="Times New Roman" w:cs="Times New Roman"/>
          <w:sz w:val="28"/>
          <w:szCs w:val="28"/>
        </w:rPr>
        <w:t>.2.1</w:t>
      </w:r>
      <w:r w:rsidRPr="00537DDE">
        <w:rPr>
          <w:rFonts w:ascii="Times New Roman" w:eastAsia="Calibri" w:hAnsi="Times New Roman" w:cs="Times New Roman"/>
          <w:sz w:val="28"/>
          <w:szCs w:val="28"/>
        </w:rPr>
        <w:t xml:space="preserve">, мы видим, что общий коэффициент летальности варьирует от 0.11 до 1.9, и КР по своим средним показателям соответствует мировому тренду, но регионы КР по отдельности, имеют большой люфт от 0.87 (г.Ош) до 2.05 (г.Нарын). </w:t>
      </w:r>
    </w:p>
    <w:p w:rsidR="00537DDE" w:rsidRP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Касаясь вопроса первичного механизма передачи коронавирусов, стоит отметить что, основным путем остается зоонозный тип передачи. Первые данные по механизму передачу получены</w:t>
      </w:r>
      <w:r w:rsidRPr="00537DDE">
        <w:rPr>
          <w:rFonts w:ascii="Times New Roman" w:eastAsia="Calibri" w:hAnsi="Times New Roman" w:cs="Times New Roman"/>
          <w:i/>
          <w:sz w:val="28"/>
          <w:szCs w:val="28"/>
        </w:rPr>
        <w:t xml:space="preserve"> Риу и др. </w:t>
      </w:r>
      <w:r w:rsidRPr="00537DDE">
        <w:rPr>
          <w:rFonts w:ascii="Times New Roman" w:eastAsia="Calibri" w:hAnsi="Times New Roman" w:cs="Times New Roman"/>
          <w:sz w:val="28"/>
          <w:szCs w:val="28"/>
        </w:rPr>
        <w:t xml:space="preserve">в их исследовании отражено что передача </w:t>
      </w:r>
      <w:r w:rsidRPr="00537DDE">
        <w:rPr>
          <w:rFonts w:ascii="Times New Roman" w:eastAsia="Calibri" w:hAnsi="Times New Roman" w:cs="Times New Roman"/>
          <w:sz w:val="28"/>
          <w:szCs w:val="28"/>
          <w:lang w:val="en-US"/>
        </w:rPr>
        <w:t>Sars</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CoV</w:t>
      </w:r>
      <w:r w:rsidRPr="00537DDE">
        <w:rPr>
          <w:rFonts w:ascii="Times New Roman" w:eastAsia="Calibri" w:hAnsi="Times New Roman" w:cs="Times New Roman"/>
          <w:sz w:val="28"/>
          <w:szCs w:val="28"/>
        </w:rPr>
        <w:t xml:space="preserve"> и </w:t>
      </w:r>
      <w:r w:rsidRPr="00537DDE">
        <w:rPr>
          <w:rFonts w:ascii="Times New Roman" w:eastAsia="Calibri" w:hAnsi="Times New Roman" w:cs="Times New Roman"/>
          <w:sz w:val="28"/>
          <w:szCs w:val="28"/>
          <w:lang w:val="en-US"/>
        </w:rPr>
        <w:t>Sars</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CoV</w:t>
      </w:r>
      <w:r w:rsidRPr="00537DDE">
        <w:rPr>
          <w:rFonts w:ascii="Times New Roman" w:eastAsia="Calibri" w:hAnsi="Times New Roman" w:cs="Times New Roman"/>
          <w:sz w:val="28"/>
          <w:szCs w:val="28"/>
        </w:rPr>
        <w:t xml:space="preserve">-2 идентичны с показателями </w:t>
      </w:r>
      <w:r w:rsidRPr="00537DDE">
        <w:rPr>
          <w:rFonts w:ascii="Times New Roman" w:eastAsia="Calibri" w:hAnsi="Times New Roman" w:cs="Times New Roman"/>
          <w:sz w:val="28"/>
          <w:szCs w:val="28"/>
          <w:lang w:val="en-US"/>
        </w:rPr>
        <w:t>R</w:t>
      </w:r>
      <w:r w:rsidRPr="00537DDE">
        <w:rPr>
          <w:rFonts w:ascii="Times New Roman" w:eastAsia="Calibri" w:hAnsi="Times New Roman" w:cs="Times New Roman"/>
          <w:sz w:val="28"/>
          <w:szCs w:val="28"/>
          <w:vertAlign w:val="subscript"/>
        </w:rPr>
        <w:t xml:space="preserve">0 </w:t>
      </w:r>
      <w:r w:rsidRPr="00537DDE">
        <w:rPr>
          <w:rFonts w:ascii="Times New Roman" w:eastAsia="Calibri" w:hAnsi="Times New Roman" w:cs="Times New Roman"/>
          <w:sz w:val="28"/>
          <w:szCs w:val="28"/>
        </w:rPr>
        <w:t xml:space="preserve">– 2.24-3.58 с посылом о возможной быстрой глобализации устойчивой передачи от человека к человеку [54-56]. Первым доказательством гипотезы </w:t>
      </w:r>
      <w:r w:rsidRPr="00537DDE">
        <w:rPr>
          <w:rFonts w:ascii="Times New Roman" w:eastAsia="Calibri" w:hAnsi="Times New Roman" w:cs="Times New Roman"/>
          <w:i/>
          <w:sz w:val="28"/>
          <w:szCs w:val="28"/>
        </w:rPr>
        <w:t xml:space="preserve">Риу и др. </w:t>
      </w:r>
      <w:r w:rsidRPr="00537DDE">
        <w:rPr>
          <w:rFonts w:ascii="Times New Roman" w:eastAsia="Calibri" w:hAnsi="Times New Roman" w:cs="Times New Roman"/>
          <w:sz w:val="28"/>
          <w:szCs w:val="28"/>
        </w:rPr>
        <w:t>стала работа</w:t>
      </w:r>
      <w:r w:rsidRPr="00537DDE">
        <w:rPr>
          <w:rFonts w:ascii="Times New Roman" w:eastAsia="Calibri" w:hAnsi="Times New Roman" w:cs="Times New Roman"/>
          <w:i/>
          <w:sz w:val="28"/>
          <w:szCs w:val="28"/>
        </w:rPr>
        <w:t xml:space="preserve"> </w:t>
      </w:r>
      <w:r w:rsidRPr="00537DDE">
        <w:rPr>
          <w:rFonts w:ascii="Times New Roman" w:eastAsia="Calibri" w:hAnsi="Times New Roman" w:cs="Times New Roman"/>
          <w:i/>
          <w:sz w:val="28"/>
          <w:szCs w:val="28"/>
          <w:lang w:val="en-US"/>
        </w:rPr>
        <w:t>Chan</w:t>
      </w:r>
      <w:r w:rsidRPr="00537DDE">
        <w:rPr>
          <w:rFonts w:ascii="Times New Roman" w:eastAsia="Calibri" w:hAnsi="Times New Roman" w:cs="Times New Roman"/>
          <w:i/>
          <w:sz w:val="28"/>
          <w:szCs w:val="28"/>
        </w:rPr>
        <w:t xml:space="preserve"> </w:t>
      </w:r>
      <w:r w:rsidRPr="00537DDE">
        <w:rPr>
          <w:rFonts w:ascii="Times New Roman" w:eastAsia="Calibri" w:hAnsi="Times New Roman" w:cs="Times New Roman"/>
          <w:i/>
          <w:sz w:val="28"/>
          <w:szCs w:val="28"/>
          <w:lang w:val="en-US"/>
        </w:rPr>
        <w:t>et</w:t>
      </w:r>
      <w:r w:rsidRPr="00537DDE">
        <w:rPr>
          <w:rFonts w:ascii="Times New Roman" w:eastAsia="Calibri" w:hAnsi="Times New Roman" w:cs="Times New Roman"/>
          <w:i/>
          <w:sz w:val="28"/>
          <w:szCs w:val="28"/>
        </w:rPr>
        <w:t xml:space="preserve"> </w:t>
      </w:r>
      <w:r w:rsidRPr="00537DDE">
        <w:rPr>
          <w:rFonts w:ascii="Times New Roman" w:eastAsia="Calibri" w:hAnsi="Times New Roman" w:cs="Times New Roman"/>
          <w:i/>
          <w:sz w:val="28"/>
          <w:szCs w:val="28"/>
          <w:lang w:val="en-US"/>
        </w:rPr>
        <w:t>all</w:t>
      </w:r>
      <w:r w:rsidRPr="00537DDE">
        <w:rPr>
          <w:rFonts w:ascii="Times New Roman" w:eastAsia="Calibri" w:hAnsi="Times New Roman" w:cs="Times New Roman"/>
          <w:i/>
          <w:sz w:val="28"/>
          <w:szCs w:val="28"/>
        </w:rPr>
        <w:t xml:space="preserve"> </w:t>
      </w:r>
      <w:r w:rsidRPr="00537DDE">
        <w:rPr>
          <w:rFonts w:ascii="Times New Roman" w:eastAsia="Calibri" w:hAnsi="Times New Roman" w:cs="Times New Roman"/>
          <w:sz w:val="28"/>
          <w:szCs w:val="28"/>
        </w:rPr>
        <w:t xml:space="preserve">в экспериментальной модели [57, 58]. </w:t>
      </w:r>
    </w:p>
    <w:p w:rsidR="00537DDE" w:rsidRP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С момента выявления </w:t>
      </w:r>
      <w:r w:rsidRPr="00537DDE">
        <w:rPr>
          <w:rFonts w:ascii="Times New Roman" w:eastAsia="Calibri" w:hAnsi="Times New Roman" w:cs="Times New Roman"/>
          <w:sz w:val="28"/>
          <w:szCs w:val="28"/>
          <w:lang w:val="en-US"/>
        </w:rPr>
        <w:t>Sars</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CoV</w:t>
      </w:r>
      <w:r w:rsidRPr="00537DDE">
        <w:rPr>
          <w:rFonts w:ascii="Times New Roman" w:eastAsia="Calibri" w:hAnsi="Times New Roman" w:cs="Times New Roman"/>
          <w:sz w:val="28"/>
          <w:szCs w:val="28"/>
        </w:rPr>
        <w:t xml:space="preserve">-2, установлено что средняя продолжительность инкубационного периода составляет от 1 до 14 дней. Инкубационный период характеризуется постоянным нарастанием вирусной нагрузки с проявлением пика в продром заболевания. Интересным моментом является отсутствие зависимости интенсивности вирусной нагрузки от тяжести клинического состояния в продромальном периоде [59]. </w:t>
      </w:r>
    </w:p>
    <w:p w:rsid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Основным путем передачи является воздушно-капельный [60], тогда как фекально-оральный путь имеет низкий уровень доказательности [61-64], что можно отметить и в вертикальном механизме передачи [65-69].</w:t>
      </w:r>
    </w:p>
    <w:p w:rsidR="007C004C" w:rsidRPr="00537DDE" w:rsidRDefault="007C004C" w:rsidP="007C004C">
      <w:pPr>
        <w:spacing w:after="0" w:line="360" w:lineRule="auto"/>
        <w:ind w:firstLine="567"/>
        <w:jc w:val="both"/>
        <w:rPr>
          <w:rFonts w:ascii="Times New Roman" w:eastAsia="Calibri" w:hAnsi="Times New Roman" w:cs="Times New Roman"/>
          <w:sz w:val="28"/>
          <w:szCs w:val="28"/>
        </w:rPr>
      </w:pPr>
    </w:p>
    <w:p w:rsidR="00537DDE" w:rsidRDefault="00537DDE" w:rsidP="007C004C">
      <w:pPr>
        <w:numPr>
          <w:ilvl w:val="1"/>
          <w:numId w:val="2"/>
        </w:numPr>
        <w:spacing w:after="0" w:line="360" w:lineRule="auto"/>
        <w:ind w:left="0" w:firstLine="567"/>
        <w:contextualSpacing/>
        <w:jc w:val="both"/>
        <w:rPr>
          <w:rFonts w:ascii="Times New Roman" w:eastAsia="Calibri" w:hAnsi="Times New Roman" w:cs="Times New Roman"/>
          <w:b/>
          <w:sz w:val="28"/>
          <w:szCs w:val="28"/>
        </w:rPr>
      </w:pPr>
      <w:r w:rsidRPr="00537DDE">
        <w:rPr>
          <w:rFonts w:ascii="Times New Roman" w:eastAsia="Calibri" w:hAnsi="Times New Roman" w:cs="Times New Roman"/>
          <w:b/>
          <w:sz w:val="28"/>
          <w:szCs w:val="28"/>
        </w:rPr>
        <w:t xml:space="preserve">Механизм патогенеза </w:t>
      </w:r>
      <w:r w:rsidRPr="00537DDE">
        <w:rPr>
          <w:rFonts w:ascii="Times New Roman" w:eastAsia="Calibri" w:hAnsi="Times New Roman" w:cs="Times New Roman"/>
          <w:b/>
          <w:sz w:val="28"/>
          <w:szCs w:val="28"/>
          <w:lang w:val="en-US"/>
        </w:rPr>
        <w:t>COVID</w:t>
      </w:r>
      <w:r w:rsidRPr="00537DDE">
        <w:rPr>
          <w:rFonts w:ascii="Times New Roman" w:eastAsia="Calibri" w:hAnsi="Times New Roman" w:cs="Times New Roman"/>
          <w:b/>
          <w:sz w:val="28"/>
          <w:szCs w:val="28"/>
        </w:rPr>
        <w:t xml:space="preserve">-19 вызванной </w:t>
      </w:r>
      <w:r w:rsidRPr="00537DDE">
        <w:rPr>
          <w:rFonts w:ascii="Times New Roman" w:eastAsia="Calibri" w:hAnsi="Times New Roman" w:cs="Times New Roman"/>
          <w:b/>
          <w:sz w:val="28"/>
          <w:szCs w:val="28"/>
          <w:lang w:val="en-US"/>
        </w:rPr>
        <w:t>Sars</w:t>
      </w:r>
      <w:r w:rsidRPr="00537DDE">
        <w:rPr>
          <w:rFonts w:ascii="Times New Roman" w:eastAsia="Calibri" w:hAnsi="Times New Roman" w:cs="Times New Roman"/>
          <w:b/>
          <w:sz w:val="28"/>
          <w:szCs w:val="28"/>
        </w:rPr>
        <w:t>-</w:t>
      </w:r>
      <w:r w:rsidRPr="00537DDE">
        <w:rPr>
          <w:rFonts w:ascii="Times New Roman" w:eastAsia="Calibri" w:hAnsi="Times New Roman" w:cs="Times New Roman"/>
          <w:b/>
          <w:sz w:val="28"/>
          <w:szCs w:val="28"/>
          <w:lang w:val="en-US"/>
        </w:rPr>
        <w:t>CoV</w:t>
      </w:r>
      <w:r w:rsidRPr="00537DDE">
        <w:rPr>
          <w:rFonts w:ascii="Times New Roman" w:eastAsia="Calibri" w:hAnsi="Times New Roman" w:cs="Times New Roman"/>
          <w:b/>
          <w:sz w:val="28"/>
          <w:szCs w:val="28"/>
        </w:rPr>
        <w:t xml:space="preserve">-2. </w:t>
      </w:r>
    </w:p>
    <w:p w:rsidR="00537DDE" w:rsidRPr="00537DDE" w:rsidRDefault="00537DDE" w:rsidP="007C004C">
      <w:pPr>
        <w:spacing w:after="0" w:line="360" w:lineRule="auto"/>
        <w:ind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Sars-CoV-2, как и его предшественники, имеет высокую таргетность относительно дыхательной системы человека. В настоящее время известно, что передача происходит за счет контактные капли и фомиты от инфицированных лиц с последующим бессимптомным или симптоматическим течением в период разгара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[70]. </w:t>
      </w:r>
    </w:p>
    <w:p w:rsidR="00537DDE" w:rsidRPr="00537DDE" w:rsidRDefault="00537DDE" w:rsidP="007C004C">
      <w:pPr>
        <w:spacing w:after="0" w:line="360" w:lineRule="auto"/>
        <w:ind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sz w:val="28"/>
          <w:szCs w:val="28"/>
          <w:lang w:val="en-US"/>
        </w:rPr>
        <w:t>S</w:t>
      </w:r>
      <w:r w:rsidRPr="00537DDE">
        <w:rPr>
          <w:rFonts w:ascii="Times New Roman" w:eastAsia="Calibri" w:hAnsi="Times New Roman" w:cs="Times New Roman"/>
          <w:sz w:val="28"/>
          <w:szCs w:val="28"/>
        </w:rPr>
        <w:t xml:space="preserve">-гликопротеин коронавируса взаимодействуя с клеточной мембраной альвеоцитов </w:t>
      </w:r>
      <w:r w:rsidRPr="00537DDE">
        <w:rPr>
          <w:rFonts w:ascii="Times New Roman" w:eastAsia="Calibri" w:hAnsi="Times New Roman" w:cs="Times New Roman"/>
          <w:sz w:val="28"/>
          <w:szCs w:val="28"/>
          <w:lang w:val="en-US"/>
        </w:rPr>
        <w:t>II</w:t>
      </w:r>
      <w:r w:rsidRPr="00537DDE">
        <w:rPr>
          <w:rFonts w:ascii="Times New Roman" w:eastAsia="Calibri" w:hAnsi="Times New Roman" w:cs="Times New Roman"/>
          <w:sz w:val="28"/>
          <w:szCs w:val="28"/>
        </w:rPr>
        <w:t xml:space="preserve"> типа, активируют протеазы (</w:t>
      </w:r>
      <w:r w:rsidRPr="00537DDE">
        <w:rPr>
          <w:rFonts w:ascii="Times New Roman" w:eastAsia="Calibri" w:hAnsi="Times New Roman" w:cs="Times New Roman"/>
          <w:sz w:val="28"/>
          <w:szCs w:val="28"/>
          <w:lang w:val="en-US"/>
        </w:rPr>
        <w:t>TMPRSS</w:t>
      </w:r>
      <w:r w:rsidRPr="00537DDE">
        <w:rPr>
          <w:rFonts w:ascii="Times New Roman" w:eastAsia="Calibri" w:hAnsi="Times New Roman" w:cs="Times New Roman"/>
          <w:sz w:val="28"/>
          <w:szCs w:val="28"/>
        </w:rPr>
        <w:t xml:space="preserve">2 и фурин) клеток хозяина, протеазы разрезают </w:t>
      </w:r>
      <w:r w:rsidRPr="00537DDE">
        <w:rPr>
          <w:rFonts w:ascii="Times New Roman" w:eastAsia="Calibri" w:hAnsi="Times New Roman" w:cs="Times New Roman"/>
          <w:sz w:val="28"/>
          <w:szCs w:val="28"/>
          <w:lang w:val="en-US"/>
        </w:rPr>
        <w:t>S</w:t>
      </w:r>
      <w:r w:rsidRPr="00537DDE">
        <w:rPr>
          <w:rFonts w:ascii="Times New Roman" w:eastAsia="Calibri" w:hAnsi="Times New Roman" w:cs="Times New Roman"/>
          <w:sz w:val="28"/>
          <w:szCs w:val="28"/>
        </w:rPr>
        <w:t xml:space="preserve">-гликопротеин по установленным участкам, тем самым </w:t>
      </w:r>
      <w:r w:rsidRPr="00537DDE">
        <w:rPr>
          <w:rFonts w:ascii="Times New Roman" w:eastAsia="Calibri" w:hAnsi="Times New Roman" w:cs="Times New Roman"/>
          <w:sz w:val="28"/>
          <w:szCs w:val="28"/>
        </w:rPr>
        <w:lastRenderedPageBreak/>
        <w:t xml:space="preserve">обнажая участки </w:t>
      </w:r>
      <w:r w:rsidRPr="00537DDE">
        <w:rPr>
          <w:rFonts w:ascii="Times New Roman" w:eastAsia="Calibri" w:hAnsi="Times New Roman" w:cs="Times New Roman"/>
          <w:sz w:val="28"/>
          <w:szCs w:val="28"/>
          <w:lang w:val="en-US"/>
        </w:rPr>
        <w:t>S</w:t>
      </w:r>
      <w:r w:rsidRPr="00537DDE">
        <w:rPr>
          <w:rFonts w:ascii="Times New Roman" w:eastAsia="Calibri" w:hAnsi="Times New Roman" w:cs="Times New Roman"/>
          <w:sz w:val="28"/>
          <w:szCs w:val="28"/>
        </w:rPr>
        <w:t xml:space="preserve">-гликопротеина сливающихся с </w:t>
      </w:r>
      <w:r w:rsidRPr="00537DDE">
        <w:rPr>
          <w:rFonts w:ascii="Times New Roman" w:eastAsia="Calibri" w:hAnsi="Times New Roman" w:cs="Times New Roman"/>
          <w:sz w:val="28"/>
          <w:szCs w:val="28"/>
          <w:lang w:val="en-US"/>
        </w:rPr>
        <w:t>ACE</w:t>
      </w:r>
      <w:r w:rsidRPr="00537DDE">
        <w:rPr>
          <w:rFonts w:ascii="Times New Roman" w:eastAsia="Calibri" w:hAnsi="Times New Roman" w:cs="Times New Roman"/>
          <w:sz w:val="28"/>
          <w:szCs w:val="28"/>
        </w:rPr>
        <w:t xml:space="preserve">2 [70, 71]. Слияние </w:t>
      </w:r>
      <w:r w:rsidRPr="00537DDE">
        <w:rPr>
          <w:rFonts w:ascii="Times New Roman" w:eastAsia="Calibri" w:hAnsi="Times New Roman" w:cs="Times New Roman"/>
          <w:sz w:val="28"/>
          <w:szCs w:val="28"/>
          <w:lang w:val="en-US"/>
        </w:rPr>
        <w:t>S</w:t>
      </w:r>
      <w:r w:rsidRPr="00537DDE">
        <w:rPr>
          <w:rFonts w:ascii="Times New Roman" w:eastAsia="Calibri" w:hAnsi="Times New Roman" w:cs="Times New Roman"/>
          <w:sz w:val="28"/>
          <w:szCs w:val="28"/>
        </w:rPr>
        <w:t xml:space="preserve">-гликопротеина и </w:t>
      </w:r>
      <w:r w:rsidRPr="00537DDE">
        <w:rPr>
          <w:rFonts w:ascii="Times New Roman" w:eastAsia="Calibri" w:hAnsi="Times New Roman" w:cs="Times New Roman"/>
          <w:sz w:val="28"/>
          <w:szCs w:val="28"/>
          <w:lang w:val="en-US"/>
        </w:rPr>
        <w:t>ACE</w:t>
      </w:r>
      <w:r w:rsidRPr="00537DDE">
        <w:rPr>
          <w:rFonts w:ascii="Times New Roman" w:eastAsia="Calibri" w:hAnsi="Times New Roman" w:cs="Times New Roman"/>
          <w:sz w:val="28"/>
          <w:szCs w:val="28"/>
        </w:rPr>
        <w:t xml:space="preserve">2 активирует механизм эндоцитоза </w:t>
      </w:r>
      <w:r w:rsidRPr="00537DDE">
        <w:rPr>
          <w:rFonts w:ascii="Times New Roman" w:eastAsia="Calibri" w:hAnsi="Times New Roman" w:cs="Times New Roman"/>
          <w:sz w:val="28"/>
          <w:szCs w:val="28"/>
          <w:lang w:val="en-US"/>
        </w:rPr>
        <w:t>c</w:t>
      </w:r>
      <w:r w:rsidRPr="00537DDE">
        <w:rPr>
          <w:rFonts w:ascii="Times New Roman" w:eastAsia="Calibri" w:hAnsi="Times New Roman" w:cs="Times New Roman"/>
          <w:sz w:val="28"/>
          <w:szCs w:val="28"/>
        </w:rPr>
        <w:t xml:space="preserve"> погружением в цитоплазму как вириона, так и рецептора </w:t>
      </w:r>
      <w:r w:rsidRPr="00537DDE">
        <w:rPr>
          <w:rFonts w:ascii="Times New Roman" w:eastAsia="Calibri" w:hAnsi="Times New Roman" w:cs="Times New Roman"/>
          <w:sz w:val="28"/>
          <w:szCs w:val="28"/>
          <w:lang w:val="en-US"/>
        </w:rPr>
        <w:t>ACE</w:t>
      </w:r>
      <w:r w:rsidRPr="00537DDE">
        <w:rPr>
          <w:rFonts w:ascii="Times New Roman" w:eastAsia="Calibri" w:hAnsi="Times New Roman" w:cs="Times New Roman"/>
          <w:sz w:val="28"/>
          <w:szCs w:val="28"/>
        </w:rPr>
        <w:t>2. В цитоплазме, вирион освобождается от оболочки, и геном вируса располагается непосредственно в цитоплазме клетки хозяин [35]. РНК-геном Sars-CoV-2 могут непосредственно синтезировать свои белки на рибосомах эндоплазматического ретикулума. Рибосомы хозяина трансформируют вирусную РНК в белок РНК-полимеразу, последняя, снова считывает положительную цепь (</w:t>
      </w:r>
      <w:r w:rsidRPr="00537DDE">
        <w:rPr>
          <w:rFonts w:ascii="Times New Roman" w:eastAsia="Calibri" w:hAnsi="Times New Roman" w:cs="Times New Roman"/>
          <w:sz w:val="28"/>
          <w:szCs w:val="28"/>
          <w:lang w:val="en-US"/>
        </w:rPr>
        <w:t>ssRNA</w:t>
      </w:r>
      <w:r w:rsidRPr="00537DDE">
        <w:rPr>
          <w:rFonts w:ascii="Times New Roman" w:eastAsia="Calibri" w:hAnsi="Times New Roman" w:cs="Times New Roman"/>
          <w:sz w:val="28"/>
          <w:szCs w:val="28"/>
        </w:rPr>
        <w:t>+) для будущего синтеза одноцепочечной цепи РНК с отрицательным смыслом (</w:t>
      </w:r>
      <w:r w:rsidRPr="00537DDE">
        <w:rPr>
          <w:rFonts w:ascii="Times New Roman" w:eastAsia="Calibri" w:hAnsi="Times New Roman" w:cs="Times New Roman"/>
          <w:sz w:val="28"/>
          <w:szCs w:val="28"/>
          <w:lang w:val="en-US"/>
        </w:rPr>
        <w:t>ssRNA</w:t>
      </w:r>
      <w:r w:rsidRPr="00537DDE">
        <w:rPr>
          <w:rFonts w:ascii="Times New Roman" w:eastAsia="Calibri" w:hAnsi="Times New Roman" w:cs="Times New Roman"/>
          <w:sz w:val="28"/>
          <w:szCs w:val="28"/>
        </w:rPr>
        <w:t xml:space="preserve">-). Цепи </w:t>
      </w:r>
      <w:r w:rsidRPr="00537DDE">
        <w:rPr>
          <w:rFonts w:ascii="Times New Roman" w:eastAsia="Calibri" w:hAnsi="Times New Roman" w:cs="Times New Roman"/>
          <w:sz w:val="28"/>
          <w:szCs w:val="28"/>
          <w:lang w:val="en-US"/>
        </w:rPr>
        <w:t>ssRNA</w:t>
      </w:r>
      <w:r w:rsidRPr="00537DDE">
        <w:rPr>
          <w:rFonts w:ascii="Times New Roman" w:eastAsia="Calibri" w:hAnsi="Times New Roman" w:cs="Times New Roman"/>
          <w:sz w:val="28"/>
          <w:szCs w:val="28"/>
        </w:rPr>
        <w:t xml:space="preserve">- используются РНК-полимеразой в качестве матрицы для синтеза дополнительных цепей </w:t>
      </w:r>
      <w:r w:rsidRPr="00537DDE">
        <w:rPr>
          <w:rFonts w:ascii="Times New Roman" w:eastAsia="Calibri" w:hAnsi="Times New Roman" w:cs="Times New Roman"/>
          <w:sz w:val="28"/>
          <w:szCs w:val="28"/>
          <w:lang w:val="en-US"/>
        </w:rPr>
        <w:t>ssRNA</w:t>
      </w:r>
      <w:r w:rsidRPr="00537DDE">
        <w:rPr>
          <w:rFonts w:ascii="Times New Roman" w:eastAsia="Calibri" w:hAnsi="Times New Roman" w:cs="Times New Roman"/>
          <w:sz w:val="28"/>
          <w:szCs w:val="28"/>
        </w:rPr>
        <w:t xml:space="preserve">+. РНК новых вирусов и их структурные компоненты мигрируют в аппарат Гольджи для упаковки в нуклеокапсид, в целях создания новых вирионов. Упакованные вирусные частицы, удаляются из клетки хозяина путем экзоцитоза посредством секреторных везикул [36].   Данный механизм проникновения в клетку и выход и нее аналогичен с Sars-CoV [72]. </w:t>
      </w:r>
    </w:p>
    <w:p w:rsidR="00537DDE" w:rsidRP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Выход реплицированных вирусных единиц в межклеточное пространство, а ровно и высокая вирусная нагрузка в момент контакта с источником инфекции, происходит активация миграции тканевых макрофагов. Макрофаги фагоцитируя вирусные частицы выделяют интерфероны и цитокины [36], на это указывают высокие титры ИЛ-6, γ-интерферона и </w:t>
      </w:r>
      <w:r w:rsidRPr="00537DDE">
        <w:rPr>
          <w:rFonts w:ascii="Times New Roman" w:eastAsia="Calibri" w:hAnsi="Times New Roman" w:cs="Times New Roman"/>
          <w:sz w:val="28"/>
          <w:szCs w:val="28"/>
          <w:lang w:val="en-US"/>
        </w:rPr>
        <w:t>IFN</w:t>
      </w:r>
      <w:r w:rsidRPr="00537DDE">
        <w:rPr>
          <w:rFonts w:ascii="Times New Roman" w:eastAsia="Calibri" w:hAnsi="Times New Roman" w:cs="Times New Roman"/>
          <w:sz w:val="28"/>
          <w:szCs w:val="28"/>
        </w:rPr>
        <w:t xml:space="preserve">- γ у инфицированных одной из человеческих коронавирусов [73]. </w:t>
      </w:r>
    </w:p>
    <w:p w:rsidR="00537DDE" w:rsidRP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Интерфероны инициируют активацию каскадной реакции специфического и неспецифического антивирусного иммунитета [74]. В случае с Sars-CoV-2 данная реакция иммунитета, проявляет себя как звено в развитии цитокинового шторма [36]. </w:t>
      </w:r>
    </w:p>
    <w:p w:rsidR="00537DDE" w:rsidRP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Цитокины производят дополнительный эффект в миграции а зону пораженной ткани макрофагов и нейтрофилов, в сочетании с прямым провоспалительным эффектом, усугубляя процесс воспаления в легочной ткани [75]. Активированная и самоподдерживающая воспалительная реакция </w:t>
      </w:r>
      <w:r w:rsidRPr="00537DDE">
        <w:rPr>
          <w:rFonts w:ascii="Times New Roman" w:eastAsia="Calibri" w:hAnsi="Times New Roman" w:cs="Times New Roman"/>
          <w:sz w:val="28"/>
          <w:szCs w:val="28"/>
        </w:rPr>
        <w:lastRenderedPageBreak/>
        <w:t xml:space="preserve">легочной ткани приходит к раздражению нервных волокон, чем и объясняется ранний сухой кашель у больных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В последующем к рефлекторному кашлю от раздражения нервных волокон периферического отдела легких, присоединяется продуктивный кашель выведения патологических продуктов скопившихся в бронхиальном дереве [75]. </w:t>
      </w:r>
    </w:p>
    <w:p w:rsidR="00537DDE" w:rsidRP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ИЛ-8 увеличивает миграцию нейтрофилов в очаг воспаления тем самым, провоцируя фагоцитоз с выделением дополнительных токсичных продуктов таких как: арахидоновая кислота, линоленовая кислота и др. которые в свою очередь выступают дополнительными бронхоконстрикторами что напрямую влияет на тяжесть гипоксического состояния и провоцируют неконтролируемую лихорадку [76]. Лихорадка инициированная организмом как защитный механизм под действием продуктов распада нейтрофилов становится патологического формата, именно данное явление становится дополнительным фактором оценки тяжести состояния пациентов. </w:t>
      </w:r>
    </w:p>
    <w:p w:rsidR="00537DDE" w:rsidRP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ИЛ-1 и ФНО-α действуют на гладкую мускулатуру сосудистого русла, расслабляя ее, что увеличивает объем жидкости в них с последующей ее выходом, в межклеточное пространство. А также увеличивая проницаемость сосудов, создают дополнительную инициацию миграции макрофагов и нейтрофилов в очаг попутно усугубляя гипоксических компонент в клиническом проявлении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[77]. </w:t>
      </w:r>
    </w:p>
    <w:p w:rsidR="00537DDE" w:rsidRPr="00537DDE" w:rsidRDefault="00537DDE" w:rsidP="007C004C">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В комплексе вышесказанных факторов и сочетание поражение альвеоцитов </w:t>
      </w:r>
      <w:r w:rsidRPr="00537DDE">
        <w:rPr>
          <w:rFonts w:ascii="Times New Roman" w:eastAsia="Calibri" w:hAnsi="Times New Roman" w:cs="Times New Roman"/>
          <w:sz w:val="28"/>
          <w:szCs w:val="28"/>
          <w:lang w:val="en-US"/>
        </w:rPr>
        <w:t>II</w:t>
      </w:r>
      <w:r w:rsidRPr="00537DDE">
        <w:rPr>
          <w:rFonts w:ascii="Times New Roman" w:eastAsia="Calibri" w:hAnsi="Times New Roman" w:cs="Times New Roman"/>
          <w:sz w:val="28"/>
          <w:szCs w:val="28"/>
        </w:rPr>
        <w:t xml:space="preserve"> типа и понижению сурфактанта в паренхиме легких - это приводит к спаданию респираторных альвеол, и как итог, респираторному дистресс синдрому [78]. Патогенетический механизм показан на рисунке 1 [79]. </w:t>
      </w:r>
    </w:p>
    <w:p w:rsidR="00537DDE" w:rsidRPr="00537DDE" w:rsidRDefault="00537DDE" w:rsidP="00537DDE">
      <w:pPr>
        <w:spacing w:after="0" w:line="360" w:lineRule="auto"/>
        <w:jc w:val="both"/>
        <w:rPr>
          <w:rFonts w:ascii="Times New Roman" w:eastAsia="Calibri" w:hAnsi="Times New Roman" w:cs="Times New Roman"/>
          <w:sz w:val="28"/>
          <w:szCs w:val="28"/>
        </w:rPr>
      </w:pPr>
      <w:r w:rsidRPr="00537DDE">
        <w:rPr>
          <w:rFonts w:ascii="Times New Roman" w:eastAsia="Calibri" w:hAnsi="Times New Roman" w:cs="Times New Roman"/>
          <w:noProof/>
          <w:sz w:val="28"/>
          <w:szCs w:val="28"/>
          <w:lang w:eastAsia="ru-RU"/>
        </w:rPr>
        <w:lastRenderedPageBreak/>
        <w:drawing>
          <wp:inline distT="0" distB="0" distL="0" distR="0" wp14:anchorId="7522BC77" wp14:editId="3E40B43A">
            <wp:extent cx="5669280" cy="8214360"/>
            <wp:effectExtent l="0" t="0" r="7620" b="0"/>
            <wp:docPr id="1" name="Рисунок 1" descr="IERJ_A_1902303_F0001_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RJ_A_1902303_F0001_O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8214360"/>
                    </a:xfrm>
                    <a:prstGeom prst="rect">
                      <a:avLst/>
                    </a:prstGeom>
                    <a:noFill/>
                    <a:ln>
                      <a:noFill/>
                    </a:ln>
                  </pic:spPr>
                </pic:pic>
              </a:graphicData>
            </a:graphic>
          </wp:inline>
        </w:drawing>
      </w:r>
    </w:p>
    <w:p w:rsidR="00537DDE" w:rsidRPr="00537DDE" w:rsidRDefault="00537DDE" w:rsidP="00537DDE">
      <w:pPr>
        <w:spacing w:after="0" w:line="360" w:lineRule="auto"/>
        <w:jc w:val="center"/>
        <w:rPr>
          <w:rFonts w:ascii="Times New Roman" w:eastAsia="Calibri" w:hAnsi="Times New Roman" w:cs="Times New Roman"/>
          <w:sz w:val="28"/>
          <w:szCs w:val="28"/>
        </w:rPr>
      </w:pPr>
      <w:r w:rsidRPr="00537DDE">
        <w:rPr>
          <w:rFonts w:ascii="Times New Roman" w:eastAsia="Calibri" w:hAnsi="Times New Roman" w:cs="Times New Roman"/>
          <w:sz w:val="28"/>
          <w:szCs w:val="28"/>
        </w:rPr>
        <w:t>Рисунок 1</w:t>
      </w:r>
      <w:r w:rsidR="00454AF9">
        <w:rPr>
          <w:rFonts w:ascii="Times New Roman" w:eastAsia="Calibri" w:hAnsi="Times New Roman" w:cs="Times New Roman"/>
          <w:sz w:val="28"/>
          <w:szCs w:val="28"/>
        </w:rPr>
        <w:t>.3.1</w:t>
      </w:r>
      <w:r w:rsidR="007C004C">
        <w:rPr>
          <w:rFonts w:ascii="Times New Roman" w:eastAsia="Calibri" w:hAnsi="Times New Roman" w:cs="Times New Roman"/>
          <w:sz w:val="28"/>
          <w:szCs w:val="28"/>
        </w:rPr>
        <w:t xml:space="preserve"> ‒</w:t>
      </w:r>
      <w:r w:rsidRPr="00537DDE">
        <w:rPr>
          <w:rFonts w:ascii="Times New Roman" w:eastAsia="Calibri" w:hAnsi="Times New Roman" w:cs="Times New Roman"/>
          <w:sz w:val="28"/>
          <w:szCs w:val="28"/>
        </w:rPr>
        <w:t xml:space="preserve"> Патогенетический механизм, развивающийся при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-19.</w:t>
      </w:r>
    </w:p>
    <w:p w:rsidR="00537DDE" w:rsidRPr="00537DDE" w:rsidRDefault="00537DDE" w:rsidP="00537DDE">
      <w:pPr>
        <w:spacing w:after="0" w:line="360" w:lineRule="auto"/>
        <w:ind w:firstLine="851"/>
        <w:jc w:val="both"/>
        <w:rPr>
          <w:rFonts w:ascii="Times New Roman" w:eastAsia="Calibri" w:hAnsi="Times New Roman" w:cs="Times New Roman"/>
          <w:sz w:val="28"/>
          <w:szCs w:val="28"/>
        </w:rPr>
      </w:pPr>
    </w:p>
    <w:p w:rsidR="00537DDE" w:rsidRPr="00537DDE" w:rsidRDefault="00537DDE" w:rsidP="00454AF9">
      <w:pPr>
        <w:numPr>
          <w:ilvl w:val="1"/>
          <w:numId w:val="2"/>
        </w:numPr>
        <w:spacing w:after="0" w:line="360" w:lineRule="auto"/>
        <w:ind w:left="0"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b/>
          <w:sz w:val="28"/>
          <w:szCs w:val="28"/>
        </w:rPr>
        <w:lastRenderedPageBreak/>
        <w:t xml:space="preserve">Классификация, клиника, диагностика, лечение, реабилитация и профилактика </w:t>
      </w:r>
      <w:r w:rsidRPr="00537DDE">
        <w:rPr>
          <w:rFonts w:ascii="Times New Roman" w:eastAsia="Calibri" w:hAnsi="Times New Roman" w:cs="Times New Roman"/>
          <w:b/>
          <w:sz w:val="28"/>
          <w:szCs w:val="28"/>
          <w:lang w:val="en-US"/>
        </w:rPr>
        <w:t>COVID</w:t>
      </w:r>
      <w:r w:rsidRPr="00537DDE">
        <w:rPr>
          <w:rFonts w:ascii="Times New Roman" w:eastAsia="Calibri" w:hAnsi="Times New Roman" w:cs="Times New Roman"/>
          <w:b/>
          <w:sz w:val="28"/>
          <w:szCs w:val="28"/>
        </w:rPr>
        <w:t>-19.</w:t>
      </w:r>
      <w:r w:rsidRPr="00537DDE">
        <w:rPr>
          <w:rFonts w:ascii="Times New Roman" w:eastAsia="Calibri" w:hAnsi="Times New Roman" w:cs="Times New Roman"/>
          <w:sz w:val="28"/>
          <w:szCs w:val="28"/>
        </w:rPr>
        <w:t xml:space="preserve"> </w:t>
      </w:r>
    </w:p>
    <w:p w:rsidR="00537DDE" w:rsidRPr="00537DDE" w:rsidRDefault="00537DDE" w:rsidP="00454AF9">
      <w:pPr>
        <w:spacing w:after="0" w:line="360" w:lineRule="auto"/>
        <w:ind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Раздел написан согласно: рекомендациям ВОЗ, Приказу №424 МЗ КР от 16.04.2021 Об утверждении 5-й версии Клинического руководства по диагностике и лечению коронавирусной инфекции в КР (включающий в себя: Приказ МЗ КР №173 от 20.03.2020; Приказ МЗ КР №219 от 05.04.2020, 3-я версия обновлена и утверждена приказом МЗ КР №387 от 08.06.2020 и Приказ МЗ КР №649 от 25.08.2020.) </w:t>
      </w:r>
      <w:r w:rsidRPr="00537DDE">
        <w:rPr>
          <w:rFonts w:ascii="Times New Roman" w:eastAsia="Calibri" w:hAnsi="Times New Roman" w:cs="Times New Roman"/>
          <w:sz w:val="28"/>
          <w:szCs w:val="28"/>
          <w:lang w:val="en-US"/>
        </w:rPr>
        <w:t>[80]</w:t>
      </w:r>
      <w:r w:rsidRPr="00537DDE">
        <w:rPr>
          <w:rFonts w:ascii="Times New Roman" w:eastAsia="Calibri" w:hAnsi="Times New Roman" w:cs="Times New Roman"/>
          <w:sz w:val="28"/>
          <w:szCs w:val="28"/>
        </w:rPr>
        <w:t>.</w:t>
      </w:r>
    </w:p>
    <w:p w:rsidR="00537DDE" w:rsidRPr="00537DDE" w:rsidRDefault="00537DDE" w:rsidP="00454AF9">
      <w:pPr>
        <w:spacing w:after="0" w:line="360" w:lineRule="auto"/>
        <w:ind w:firstLine="567"/>
        <w:contextualSpacing/>
        <w:jc w:val="both"/>
        <w:rPr>
          <w:rFonts w:ascii="Times New Roman" w:eastAsia="Calibri" w:hAnsi="Times New Roman" w:cs="Times New Roman"/>
          <w:sz w:val="28"/>
          <w:szCs w:val="28"/>
        </w:rPr>
      </w:pPr>
    </w:p>
    <w:p w:rsidR="00537DDE" w:rsidRPr="00537DDE" w:rsidRDefault="00537DDE" w:rsidP="00454AF9">
      <w:pPr>
        <w:numPr>
          <w:ilvl w:val="2"/>
          <w:numId w:val="2"/>
        </w:numPr>
        <w:spacing w:after="0" w:line="360" w:lineRule="auto"/>
        <w:ind w:left="0" w:firstLine="567"/>
        <w:contextualSpacing/>
        <w:jc w:val="both"/>
        <w:rPr>
          <w:rFonts w:ascii="Times New Roman" w:eastAsia="Calibri" w:hAnsi="Times New Roman" w:cs="Times New Roman"/>
          <w:b/>
          <w:sz w:val="28"/>
          <w:szCs w:val="28"/>
        </w:rPr>
      </w:pPr>
      <w:r w:rsidRPr="00537DDE">
        <w:rPr>
          <w:rFonts w:ascii="Times New Roman" w:eastAsia="Calibri" w:hAnsi="Times New Roman" w:cs="Times New Roman"/>
          <w:b/>
          <w:sz w:val="28"/>
          <w:szCs w:val="28"/>
        </w:rPr>
        <w:t xml:space="preserve">Классификация </w:t>
      </w:r>
      <w:r w:rsidRPr="00537DDE">
        <w:rPr>
          <w:rFonts w:ascii="Times New Roman" w:eastAsia="Calibri" w:hAnsi="Times New Roman" w:cs="Times New Roman"/>
          <w:b/>
          <w:sz w:val="28"/>
          <w:szCs w:val="28"/>
          <w:lang w:val="en-US"/>
        </w:rPr>
        <w:t>COVID-19.</w:t>
      </w:r>
    </w:p>
    <w:p w:rsidR="00537DDE" w:rsidRPr="00537DDE" w:rsidRDefault="00537DDE" w:rsidP="00454AF9">
      <w:pPr>
        <w:spacing w:after="0" w:line="360" w:lineRule="auto"/>
        <w:ind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Современная классификация строится на определении степени тяжести состояния пациента [81, 82, 94]:</w:t>
      </w:r>
    </w:p>
    <w:p w:rsidR="00537DDE" w:rsidRPr="00537DDE" w:rsidRDefault="00537DDE" w:rsidP="00454AF9">
      <w:pPr>
        <w:spacing w:after="0" w:line="360" w:lineRule="auto"/>
        <w:ind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а) легкая степень (включает в себя: симптомы - лихорадка, кашель, усталость, потеря аппетита, потеря обоняния/вкуса; другие неспецифические симптомы: боль в горле, заложенность носа, головная боль, диарея, тошнота/рвота, головокружение, возбуждение, слабость, усталость, снижение внимания, мобильности). </w:t>
      </w:r>
    </w:p>
    <w:p w:rsidR="00537DDE" w:rsidRPr="00537DDE" w:rsidRDefault="00537DDE" w:rsidP="00454AF9">
      <w:pPr>
        <w:spacing w:after="0" w:line="360" w:lineRule="auto"/>
        <w:ind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б) средней тяжести (включает в себя: клинические признаки пневмонии: лихорадка, кашель, одышка, учащенное дыхание, но без признаков тяжелой пневмонии, SpO₂ ≥90%).</w:t>
      </w:r>
    </w:p>
    <w:p w:rsidR="00537DDE" w:rsidRPr="00537DDE" w:rsidRDefault="00537DDE" w:rsidP="00454AF9">
      <w:pPr>
        <w:spacing w:after="0" w:line="360" w:lineRule="auto"/>
        <w:ind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в) тяжелая степень (включает в себя: клинические признаки пневмонии: лихорадка, кашель, одышка, быстрое дыхание, плюс одно из приведенного:  ЧДД &gt; 30 движений/мин;  Тяжелый респираторный дистресс синдром;  SpO₂ ≤90% при дыхании комнатным воздухом или подтверждённая рентгенологически или КТ).</w:t>
      </w:r>
    </w:p>
    <w:p w:rsidR="00537DDE" w:rsidRPr="00537DDE" w:rsidRDefault="00537DDE" w:rsidP="00454AF9">
      <w:pPr>
        <w:spacing w:after="0" w:line="360" w:lineRule="auto"/>
        <w:ind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г) крайне тяжелая степень (включает в себя: наличие острого респираторного дистресс-синдрома (ОРДС), сепсиса, септического шока, острого тромбоза (ТЭЛА, ОКС, инсульт).</w:t>
      </w:r>
    </w:p>
    <w:p w:rsidR="00537DDE" w:rsidRPr="00537DDE" w:rsidRDefault="00537DDE" w:rsidP="00454AF9">
      <w:pPr>
        <w:spacing w:after="0" w:line="360" w:lineRule="auto"/>
        <w:ind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По степени риска, согласно приложению 2, клинического руководства по диагностике и лечению коронавирусной инфекции (COVID-19) (Версия 5)</w:t>
      </w:r>
    </w:p>
    <w:p w:rsidR="00537DDE" w:rsidRPr="00537DDE" w:rsidRDefault="00537DDE" w:rsidP="00454AF9">
      <w:pPr>
        <w:spacing w:after="0" w:line="360" w:lineRule="auto"/>
        <w:ind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lastRenderedPageBreak/>
        <w:t>для всех уровней здравоохранения, утвержденного Приказом №424 МЗ КР от 16.04.2021:</w:t>
      </w:r>
    </w:p>
    <w:p w:rsidR="00537DDE" w:rsidRPr="00537DDE" w:rsidRDefault="00537DDE" w:rsidP="00454AF9">
      <w:pPr>
        <w:spacing w:after="0" w:line="360" w:lineRule="auto"/>
        <w:ind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а) низкий риск </w:t>
      </w:r>
    </w:p>
    <w:p w:rsidR="00537DDE" w:rsidRPr="00537DDE" w:rsidRDefault="00537DDE" w:rsidP="00454AF9">
      <w:pPr>
        <w:spacing w:after="0" w:line="360" w:lineRule="auto"/>
        <w:ind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б) средний риск</w:t>
      </w:r>
    </w:p>
    <w:p w:rsidR="00537DDE" w:rsidRPr="00537DDE" w:rsidRDefault="00537DDE" w:rsidP="00454AF9">
      <w:pPr>
        <w:spacing w:after="0" w:line="360" w:lineRule="auto"/>
        <w:ind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в) высокий риск</w:t>
      </w:r>
    </w:p>
    <w:p w:rsidR="00537DDE" w:rsidRPr="00537DDE" w:rsidRDefault="00537DDE" w:rsidP="00454AF9">
      <w:pPr>
        <w:spacing w:after="0" w:line="360" w:lineRule="auto"/>
        <w:ind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По осложнениям:</w:t>
      </w:r>
    </w:p>
    <w:p w:rsidR="00537DDE" w:rsidRPr="00537DDE" w:rsidRDefault="00537DDE" w:rsidP="00454AF9">
      <w:pPr>
        <w:spacing w:after="0" w:line="360" w:lineRule="auto"/>
        <w:ind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а) осложнённый </w:t>
      </w:r>
    </w:p>
    <w:p w:rsidR="00537DDE" w:rsidRPr="00537DDE" w:rsidRDefault="00537DDE" w:rsidP="00454AF9">
      <w:pPr>
        <w:spacing w:after="0" w:line="360" w:lineRule="auto"/>
        <w:ind w:firstLine="567"/>
        <w:contextualSpacing/>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б) не осложнённый </w:t>
      </w:r>
    </w:p>
    <w:p w:rsidR="007C004C" w:rsidRDefault="007C004C" w:rsidP="00454AF9">
      <w:pPr>
        <w:spacing w:after="0" w:line="360" w:lineRule="auto"/>
        <w:ind w:firstLine="567"/>
        <w:jc w:val="both"/>
        <w:rPr>
          <w:rFonts w:ascii="Times New Roman" w:eastAsia="Calibri" w:hAnsi="Times New Roman" w:cs="Times New Roman"/>
          <w:b/>
          <w:sz w:val="28"/>
          <w:szCs w:val="28"/>
        </w:rPr>
      </w:pPr>
    </w:p>
    <w:p w:rsidR="00537DDE" w:rsidRPr="00537DDE" w:rsidRDefault="00537DDE" w:rsidP="00454AF9">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b/>
          <w:sz w:val="28"/>
          <w:szCs w:val="28"/>
        </w:rPr>
        <w:t xml:space="preserve">1.4.2. Клинические проявления </w:t>
      </w:r>
      <w:r w:rsidRPr="00537DDE">
        <w:rPr>
          <w:rFonts w:ascii="Times New Roman" w:eastAsia="Calibri" w:hAnsi="Times New Roman" w:cs="Times New Roman"/>
          <w:b/>
          <w:sz w:val="28"/>
          <w:szCs w:val="28"/>
          <w:lang w:val="en-US"/>
        </w:rPr>
        <w:t>COVID</w:t>
      </w:r>
      <w:r w:rsidRPr="00537DDE">
        <w:rPr>
          <w:rFonts w:ascii="Times New Roman" w:eastAsia="Calibri" w:hAnsi="Times New Roman" w:cs="Times New Roman"/>
          <w:b/>
          <w:sz w:val="28"/>
          <w:szCs w:val="28"/>
        </w:rPr>
        <w:t xml:space="preserve">-19. </w:t>
      </w:r>
    </w:p>
    <w:p w:rsidR="00537DDE" w:rsidRPr="00537DDE" w:rsidRDefault="00537DDE" w:rsidP="00454AF9">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Основные симптомы при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проявляются в виде: высокой температуры, кашля, одышки (вновь возникшая или ухудшение имеющийся одышки), аносмии или других нарушений в восприятии запахов, агевзии (нарушение вкуса) или другие нарушения вкусового восприятия, фарингита/ларингита, миалгии, озноба/дрожи головной боли, ринореи, тошноты/рвоты, диареи, болью или чувством тяжести в груд [81-93]. </w:t>
      </w:r>
    </w:p>
    <w:p w:rsidR="00537DDE" w:rsidRPr="00537DDE" w:rsidRDefault="00537DDE" w:rsidP="00454AF9">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Выделяют так же жизнеугрожающие признаки обозначенными «Красными флагами» клинического состояния пациентов [81-93]:</w:t>
      </w:r>
    </w:p>
    <w:p w:rsidR="00537DDE" w:rsidRPr="00537DDE" w:rsidRDefault="00537DDE" w:rsidP="00454AF9">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Сильная одышка или затрудненное дыхание;</w:t>
      </w:r>
    </w:p>
    <w:p w:rsidR="00537DDE" w:rsidRPr="00537DDE" w:rsidRDefault="00537DDE" w:rsidP="00454AF9">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Кровохарканье;</w:t>
      </w:r>
    </w:p>
    <w:p w:rsidR="00537DDE" w:rsidRPr="00537DDE" w:rsidRDefault="00537DDE" w:rsidP="00454AF9">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Боль или давление в груди;</w:t>
      </w:r>
    </w:p>
    <w:p w:rsidR="00537DDE" w:rsidRPr="00537DDE" w:rsidRDefault="00537DDE" w:rsidP="00454AF9">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Синие губы или лицо (диффузный цианоз);</w:t>
      </w:r>
    </w:p>
    <w:p w:rsidR="00537DDE" w:rsidRPr="00537DDE" w:rsidRDefault="00537DDE" w:rsidP="00454AF9">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Холодный и липкий пот с пятнистой кожей;</w:t>
      </w:r>
    </w:p>
    <w:p w:rsidR="00537DDE" w:rsidRPr="00537DDE" w:rsidRDefault="00537DDE" w:rsidP="00454AF9">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Изменение сознания;</w:t>
      </w:r>
    </w:p>
    <w:p w:rsidR="00537DDE" w:rsidRPr="00537DDE" w:rsidRDefault="00537DDE" w:rsidP="00454AF9">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Становится трудно разбудить;</w:t>
      </w:r>
    </w:p>
    <w:p w:rsidR="00537DDE" w:rsidRPr="00537DDE" w:rsidRDefault="00537DDE" w:rsidP="00454AF9">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Значительно сниженный диурез</w:t>
      </w:r>
    </w:p>
    <w:p w:rsidR="00537DDE" w:rsidRPr="00537DDE" w:rsidRDefault="00537DDE" w:rsidP="00454AF9">
      <w:pPr>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Значительную информацию о клиническом состоянии, дают лабораторные показатели. Так, в общем анализе крови не проявляется специфичных изменений, помимо лейкоцитоза в легкой и средней тяжестях и лимфопенией в тяжелом или крайне тяжелом состоянии. Анализ мочи с биохимическим </w:t>
      </w:r>
      <w:r w:rsidRPr="00537DDE">
        <w:rPr>
          <w:rFonts w:ascii="Times New Roman" w:eastAsia="Calibri" w:hAnsi="Times New Roman" w:cs="Times New Roman"/>
          <w:sz w:val="28"/>
          <w:szCs w:val="28"/>
        </w:rPr>
        <w:lastRenderedPageBreak/>
        <w:t xml:space="preserve">анализом крови малоинформативны относительно дифферциальной диагностики, но как индикаторы общего состояния организма и выбора симптоматической терапии, незаменимы. Значимым показателем в оценке состояния воспалительных процессов при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является С-реативный белок. При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уровень СРБ имеет прямую корреляционную связь с тяжестью состояния, помимо сказанного, определяет период начала глюкокортикостероидной терапии. Ферритин и прокальцитонин, оценивают сочетанную бактериальную инфекцию при коронавирусе, и их значения определяют начало антибактериальной терапии. Наиболее важными в прогностическом значении являются показатели коагулограмы. При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коагулограмма претерпевает отклонения в сторону большей свертываемости [81-93]. </w:t>
      </w:r>
    </w:p>
    <w:p w:rsidR="007C004C" w:rsidRDefault="007C004C" w:rsidP="00454AF9">
      <w:pPr>
        <w:spacing w:after="0" w:line="360" w:lineRule="auto"/>
        <w:ind w:firstLine="567"/>
        <w:jc w:val="both"/>
        <w:rPr>
          <w:rFonts w:ascii="Times New Roman" w:eastAsia="Calibri" w:hAnsi="Times New Roman" w:cs="Times New Roman"/>
          <w:b/>
          <w:sz w:val="28"/>
          <w:szCs w:val="28"/>
        </w:rPr>
      </w:pPr>
    </w:p>
    <w:p w:rsidR="00537DDE" w:rsidRPr="00537DDE" w:rsidRDefault="00537DDE" w:rsidP="00454AF9">
      <w:pPr>
        <w:spacing w:after="0" w:line="360" w:lineRule="auto"/>
        <w:ind w:firstLine="567"/>
        <w:jc w:val="both"/>
        <w:rPr>
          <w:rFonts w:ascii="Times New Roman" w:eastAsia="Calibri" w:hAnsi="Times New Roman" w:cs="Times New Roman"/>
          <w:b/>
          <w:sz w:val="28"/>
          <w:szCs w:val="28"/>
        </w:rPr>
      </w:pPr>
      <w:r w:rsidRPr="00537DDE">
        <w:rPr>
          <w:rFonts w:ascii="Times New Roman" w:eastAsia="Calibri" w:hAnsi="Times New Roman" w:cs="Times New Roman"/>
          <w:b/>
          <w:sz w:val="28"/>
          <w:szCs w:val="28"/>
        </w:rPr>
        <w:t xml:space="preserve">1.4.3. Диагностика </w:t>
      </w:r>
      <w:r w:rsidRPr="00537DDE">
        <w:rPr>
          <w:rFonts w:ascii="Times New Roman" w:eastAsia="Calibri" w:hAnsi="Times New Roman" w:cs="Times New Roman"/>
          <w:b/>
          <w:sz w:val="28"/>
          <w:szCs w:val="28"/>
          <w:lang w:val="en-US"/>
        </w:rPr>
        <w:t>COVID</w:t>
      </w:r>
      <w:r w:rsidRPr="00537DDE">
        <w:rPr>
          <w:rFonts w:ascii="Times New Roman" w:eastAsia="Calibri" w:hAnsi="Times New Roman" w:cs="Times New Roman"/>
          <w:b/>
          <w:sz w:val="28"/>
          <w:szCs w:val="28"/>
        </w:rPr>
        <w:t xml:space="preserve">-19. </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Согласно стандартам разработанным в национальных руководствах, диагностика проводилась выявления антигенной структуры </w:t>
      </w:r>
      <w:r w:rsidRPr="00454AF9">
        <w:rPr>
          <w:rFonts w:ascii="Times New Roman" w:eastAsia="Calibri" w:hAnsi="Times New Roman" w:cs="Times New Roman"/>
          <w:spacing w:val="-4"/>
          <w:sz w:val="28"/>
          <w:szCs w:val="28"/>
          <w:lang w:val="en-US"/>
        </w:rPr>
        <w:t>Sars</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CoV</w:t>
      </w:r>
      <w:r w:rsidRPr="00454AF9">
        <w:rPr>
          <w:rFonts w:ascii="Times New Roman" w:eastAsia="Calibri" w:hAnsi="Times New Roman" w:cs="Times New Roman"/>
          <w:spacing w:val="-4"/>
          <w:sz w:val="28"/>
          <w:szCs w:val="28"/>
        </w:rPr>
        <w:t xml:space="preserve">-2 посредством полимеразной цепной реакции (ПЦР). Методика позволила быстро и точно определять зараженных и эффективно и быстро реагировать во всем мире. Эпидемилогическое расследование, не смотря на сложности в реализации, принесли значительный результат по выявлению потенциально зараженных и бессимптомных носителей. Сочетание двух методик по организации, диагностических мероприятий, позволили США эффективно управлять эпидемиологической ситуацией без полной поставки экономической деятельности страны [95]. Минусами в диагностике ПЦР явились то что результат применим только в реальном времени, без возможности выявления иных возбудителей [96] и отсутствие результатов у реконвалисцентов [97]. Помимо вышесказанных минусов, в условиях КР, технически и процедурно тяжелая методика ПЦР, вероятно, приводила к ошибкам в заключении. Серологические методы диагностики, важны как метод оценки иммунного ответа на внедрения вируса. Так по состоянию </w:t>
      </w:r>
      <w:r w:rsidRPr="00454AF9">
        <w:rPr>
          <w:rFonts w:ascii="Times New Roman" w:eastAsia="Calibri" w:hAnsi="Times New Roman" w:cs="Times New Roman"/>
          <w:spacing w:val="-4"/>
          <w:sz w:val="28"/>
          <w:szCs w:val="28"/>
          <w:lang w:val="en-US"/>
        </w:rPr>
        <w:t>IgM</w:t>
      </w:r>
      <w:r w:rsidRPr="00454AF9">
        <w:rPr>
          <w:rFonts w:ascii="Times New Roman" w:eastAsia="Calibri" w:hAnsi="Times New Roman" w:cs="Times New Roman"/>
          <w:spacing w:val="-4"/>
          <w:sz w:val="28"/>
          <w:szCs w:val="28"/>
        </w:rPr>
        <w:t xml:space="preserve"> – мы можем определить острую фазу выработки антител, тогда </w:t>
      </w:r>
      <w:r w:rsidRPr="00454AF9">
        <w:rPr>
          <w:rFonts w:ascii="Times New Roman" w:eastAsia="Calibri" w:hAnsi="Times New Roman" w:cs="Times New Roman"/>
          <w:spacing w:val="-4"/>
          <w:sz w:val="28"/>
          <w:szCs w:val="28"/>
        </w:rPr>
        <w:lastRenderedPageBreak/>
        <w:t xml:space="preserve">как </w:t>
      </w:r>
      <w:r w:rsidRPr="00454AF9">
        <w:rPr>
          <w:rFonts w:ascii="Times New Roman" w:eastAsia="Calibri" w:hAnsi="Times New Roman" w:cs="Times New Roman"/>
          <w:spacing w:val="-4"/>
          <w:sz w:val="28"/>
          <w:szCs w:val="28"/>
          <w:lang w:val="en-US"/>
        </w:rPr>
        <w:t>IgG</w:t>
      </w:r>
      <w:r w:rsidRPr="00454AF9">
        <w:rPr>
          <w:rFonts w:ascii="Times New Roman" w:eastAsia="Calibri" w:hAnsi="Times New Roman" w:cs="Times New Roman"/>
          <w:spacing w:val="-4"/>
          <w:sz w:val="28"/>
          <w:szCs w:val="28"/>
        </w:rPr>
        <w:t xml:space="preserve"> – говорит о пройденном иммунологическом процессе с формированием полного специфического иммунного ответа против </w:t>
      </w:r>
      <w:r w:rsidRPr="00454AF9">
        <w:rPr>
          <w:rFonts w:ascii="Times New Roman" w:eastAsia="Calibri" w:hAnsi="Times New Roman" w:cs="Times New Roman"/>
          <w:spacing w:val="-4"/>
          <w:sz w:val="28"/>
          <w:szCs w:val="28"/>
          <w:lang w:val="en-US"/>
        </w:rPr>
        <w:t>Sars</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CoV</w:t>
      </w:r>
      <w:r w:rsidRPr="00454AF9">
        <w:rPr>
          <w:rFonts w:ascii="Times New Roman" w:eastAsia="Calibri" w:hAnsi="Times New Roman" w:cs="Times New Roman"/>
          <w:spacing w:val="-4"/>
          <w:sz w:val="28"/>
          <w:szCs w:val="28"/>
        </w:rPr>
        <w:t>-2. Минусом метода является невозможность исключить перекрёстную реакцию на антитела, генерируемыми разными коронавирусами [98-100].</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В настоящее время, в целях экспресс диагностика, используют, тесты системы с адсорбированными и зафиксированными антителами к </w:t>
      </w:r>
      <w:r w:rsidRPr="00454AF9">
        <w:rPr>
          <w:rFonts w:ascii="Times New Roman" w:eastAsia="Calibri" w:hAnsi="Times New Roman" w:cs="Times New Roman"/>
          <w:spacing w:val="-4"/>
          <w:sz w:val="28"/>
          <w:szCs w:val="28"/>
          <w:lang w:val="en-US"/>
        </w:rPr>
        <w:t>Sars</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CoV</w:t>
      </w:r>
      <w:r w:rsidRPr="00454AF9">
        <w:rPr>
          <w:rFonts w:ascii="Times New Roman" w:eastAsia="Calibri" w:hAnsi="Times New Roman" w:cs="Times New Roman"/>
          <w:spacing w:val="-4"/>
          <w:sz w:val="28"/>
          <w:szCs w:val="28"/>
        </w:rPr>
        <w:t xml:space="preserve">-2 или антигенами </w:t>
      </w:r>
      <w:r w:rsidRPr="00454AF9">
        <w:rPr>
          <w:rFonts w:ascii="Times New Roman" w:eastAsia="Calibri" w:hAnsi="Times New Roman" w:cs="Times New Roman"/>
          <w:spacing w:val="-4"/>
          <w:sz w:val="28"/>
          <w:szCs w:val="28"/>
          <w:lang w:val="en-US"/>
        </w:rPr>
        <w:t>Sars</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CoV</w:t>
      </w:r>
      <w:r w:rsidRPr="00454AF9">
        <w:rPr>
          <w:rFonts w:ascii="Times New Roman" w:eastAsia="Calibri" w:hAnsi="Times New Roman" w:cs="Times New Roman"/>
          <w:spacing w:val="-4"/>
          <w:sz w:val="28"/>
          <w:szCs w:val="28"/>
        </w:rPr>
        <w:t xml:space="preserve">-2 на планшетах. Данная методика позволяет, разворачивать пункт по контролю в любом месте без оборудования лаборатории [100]. </w:t>
      </w:r>
    </w:p>
    <w:p w:rsidR="007C004C" w:rsidRPr="00454AF9" w:rsidRDefault="007C004C" w:rsidP="00454AF9">
      <w:pPr>
        <w:spacing w:after="0" w:line="360" w:lineRule="auto"/>
        <w:ind w:firstLine="567"/>
        <w:jc w:val="both"/>
        <w:rPr>
          <w:rFonts w:ascii="Times New Roman" w:eastAsia="Calibri" w:hAnsi="Times New Roman" w:cs="Times New Roman"/>
          <w:b/>
          <w:spacing w:val="-4"/>
          <w:sz w:val="28"/>
          <w:szCs w:val="28"/>
        </w:rPr>
      </w:pPr>
    </w:p>
    <w:p w:rsidR="00537DDE" w:rsidRPr="00454AF9" w:rsidRDefault="00537DDE" w:rsidP="00454AF9">
      <w:pPr>
        <w:spacing w:after="0" w:line="360" w:lineRule="auto"/>
        <w:ind w:firstLine="567"/>
        <w:jc w:val="both"/>
        <w:rPr>
          <w:rFonts w:ascii="Times New Roman" w:eastAsia="Calibri" w:hAnsi="Times New Roman" w:cs="Times New Roman"/>
          <w:b/>
          <w:spacing w:val="-4"/>
          <w:sz w:val="28"/>
          <w:szCs w:val="28"/>
        </w:rPr>
      </w:pPr>
      <w:r w:rsidRPr="00454AF9">
        <w:rPr>
          <w:rFonts w:ascii="Times New Roman" w:eastAsia="Calibri" w:hAnsi="Times New Roman" w:cs="Times New Roman"/>
          <w:b/>
          <w:spacing w:val="-4"/>
          <w:sz w:val="28"/>
          <w:szCs w:val="28"/>
        </w:rPr>
        <w:t xml:space="preserve">1.4.4. Лечение </w:t>
      </w:r>
      <w:r w:rsidRPr="00454AF9">
        <w:rPr>
          <w:rFonts w:ascii="Times New Roman" w:eastAsia="Calibri" w:hAnsi="Times New Roman" w:cs="Times New Roman"/>
          <w:b/>
          <w:spacing w:val="-4"/>
          <w:sz w:val="28"/>
          <w:szCs w:val="28"/>
          <w:lang w:val="en-US"/>
        </w:rPr>
        <w:t>COVID</w:t>
      </w:r>
      <w:r w:rsidRPr="00454AF9">
        <w:rPr>
          <w:rFonts w:ascii="Times New Roman" w:eastAsia="Calibri" w:hAnsi="Times New Roman" w:cs="Times New Roman"/>
          <w:b/>
          <w:spacing w:val="-4"/>
          <w:sz w:val="28"/>
          <w:szCs w:val="28"/>
        </w:rPr>
        <w:t>-19</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В настоящее время в терапии </w:t>
      </w:r>
      <w:r w:rsidRPr="00454AF9">
        <w:rPr>
          <w:rFonts w:ascii="Times New Roman" w:eastAsia="Calibri" w:hAnsi="Times New Roman" w:cs="Times New Roman"/>
          <w:spacing w:val="-4"/>
          <w:sz w:val="28"/>
          <w:szCs w:val="28"/>
          <w:lang w:val="en-US"/>
        </w:rPr>
        <w:t>COVID</w:t>
      </w:r>
      <w:r w:rsidRPr="00454AF9">
        <w:rPr>
          <w:rFonts w:ascii="Times New Roman" w:eastAsia="Calibri" w:hAnsi="Times New Roman" w:cs="Times New Roman"/>
          <w:spacing w:val="-4"/>
          <w:sz w:val="28"/>
          <w:szCs w:val="28"/>
        </w:rPr>
        <w:t>-19 используются стандартные принципы фармакотерапии:</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а) этиотропная терапия;</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б) патогенетическая терапия;</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в) симптоматическая терапия.</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Начав обзор этиотропных принципов терапии, важно отметить что противовирусные лекарственные средства и все что было заявлено в качестве этиотропной терапии, не имеет достаточного уровня доказательности по вопросам эффективности и безопасности [81-93, 101-107]. </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Было проведено множество клинических исследований с применением трех основных групп лекарственных средств в роли этиотропной терапии. Так, группа противомалярийных препаратов, а именно хлорохин и гидроксихлорохин в сочетании с азитромицином или без таковой, оказались сомнительной эффективности и безопасности при проведении, рандомизированного исследования [81, 92]. </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Вторая обширная группа – противовирусные средства (лопиновир, ремдесевир, интерферон-β-1а и.т.п.) так же не проиллюстрировалb эффективность относительно </w:t>
      </w:r>
      <w:r w:rsidRPr="00454AF9">
        <w:rPr>
          <w:rFonts w:ascii="Times New Roman" w:eastAsia="Calibri" w:hAnsi="Times New Roman" w:cs="Times New Roman"/>
          <w:spacing w:val="-4"/>
          <w:sz w:val="28"/>
          <w:szCs w:val="28"/>
          <w:lang w:val="en-US"/>
        </w:rPr>
        <w:t>COVID</w:t>
      </w:r>
      <w:r w:rsidRPr="00454AF9">
        <w:rPr>
          <w:rFonts w:ascii="Times New Roman" w:eastAsia="Calibri" w:hAnsi="Times New Roman" w:cs="Times New Roman"/>
          <w:spacing w:val="-4"/>
          <w:sz w:val="28"/>
          <w:szCs w:val="28"/>
        </w:rPr>
        <w:t xml:space="preserve">-19. То же касается терапии реконвалисцентной плазмы как один из вариантов этиотропной терапии которые применялись и в КР [94, 101-107]. </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lastRenderedPageBreak/>
        <w:t xml:space="preserve">Патогенетическая терапия, вышла на первый план в стратегии лечения </w:t>
      </w:r>
      <w:r w:rsidRPr="00454AF9">
        <w:rPr>
          <w:rFonts w:ascii="Times New Roman" w:eastAsia="Calibri" w:hAnsi="Times New Roman" w:cs="Times New Roman"/>
          <w:spacing w:val="-4"/>
          <w:sz w:val="28"/>
          <w:szCs w:val="28"/>
          <w:lang w:val="en-US"/>
        </w:rPr>
        <w:t>COVID</w:t>
      </w:r>
      <w:r w:rsidRPr="00454AF9">
        <w:rPr>
          <w:rFonts w:ascii="Times New Roman" w:eastAsia="Calibri" w:hAnsi="Times New Roman" w:cs="Times New Roman"/>
          <w:spacing w:val="-4"/>
          <w:sz w:val="28"/>
          <w:szCs w:val="28"/>
        </w:rPr>
        <w:t xml:space="preserve">-19. Данный подход в терапии, включает себя следующие направления: </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а) Антикоагулянтная терапия – в целях разрыва патогенетических цепей формирования тромбов в сосудистом русле пациентов, применяют в качестве препарата выбора низкомолекулярный гепарин (НМГ) – эноксапарин, в случае отсутствия последнего используется нефракционированный гепарин (НФГ) [89, 106, 108].</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б) Заместительная инфузионная терапия – применяется как способ восполнения компонентов гомеостаза в организме пациента. В качестве препарата выбора применяют свежезамороженную плазму, дозу и объем СЗП подбирают в зависимости от тяжести состояния [105]. </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в) Гастропротективная терапия – применяется на фоне проводимой антикоагулянтной и антиагрегатной терапии у пациентов с сопутствующей патологией желудочно-кишечного тракта [81, 88, 102]. </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г) Противовоспалительная терапия глюкокортикостероидами, терапия направленная на общую мобилизацию организма, сильное противодействие воспалению и приостановке иммунологических реакций у пациентов с </w:t>
      </w:r>
      <w:r w:rsidRPr="00454AF9">
        <w:rPr>
          <w:rFonts w:ascii="Times New Roman" w:eastAsia="Calibri" w:hAnsi="Times New Roman" w:cs="Times New Roman"/>
          <w:spacing w:val="-4"/>
          <w:sz w:val="28"/>
          <w:szCs w:val="28"/>
          <w:lang w:val="en-US"/>
        </w:rPr>
        <w:t>COVID</w:t>
      </w:r>
      <w:r w:rsidRPr="00454AF9">
        <w:rPr>
          <w:rFonts w:ascii="Times New Roman" w:eastAsia="Calibri" w:hAnsi="Times New Roman" w:cs="Times New Roman"/>
          <w:spacing w:val="-4"/>
          <w:sz w:val="28"/>
          <w:szCs w:val="28"/>
        </w:rPr>
        <w:t xml:space="preserve">-19. Важно отметить что примененние ГКС регламентировано: применять рекомендуются только в случаях тяжелой и крайне тяжелой формах клинического течения </w:t>
      </w:r>
      <w:r w:rsidRPr="00454AF9">
        <w:rPr>
          <w:rFonts w:ascii="Times New Roman" w:eastAsia="Calibri" w:hAnsi="Times New Roman" w:cs="Times New Roman"/>
          <w:spacing w:val="-4"/>
          <w:sz w:val="28"/>
          <w:szCs w:val="28"/>
          <w:lang w:val="en-US"/>
        </w:rPr>
        <w:t>COVID</w:t>
      </w:r>
      <w:r w:rsidRPr="00454AF9">
        <w:rPr>
          <w:rFonts w:ascii="Times New Roman" w:eastAsia="Calibri" w:hAnsi="Times New Roman" w:cs="Times New Roman"/>
          <w:spacing w:val="-4"/>
          <w:sz w:val="28"/>
          <w:szCs w:val="28"/>
        </w:rPr>
        <w:t xml:space="preserve">-19. Применение ГКС в легкой и средней степени тяжести приводит у увеличению времени виремии и усубляет риск утяжеления клинического состояния пациентов. Препаратами выбора являются преднизолон, дексаметазон, метилпреднизолон и другие синтетические ГКС системного действия [81-93]. </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д) Оксигенотерапия – поражение легочной ткани и сопутствующие патологические механизмы при </w:t>
      </w:r>
      <w:r w:rsidRPr="00454AF9">
        <w:rPr>
          <w:rFonts w:ascii="Times New Roman" w:eastAsia="Calibri" w:hAnsi="Times New Roman" w:cs="Times New Roman"/>
          <w:spacing w:val="-4"/>
          <w:sz w:val="28"/>
          <w:szCs w:val="28"/>
          <w:lang w:val="en-US"/>
        </w:rPr>
        <w:t>COVID</w:t>
      </w:r>
      <w:r w:rsidRPr="00454AF9">
        <w:rPr>
          <w:rFonts w:ascii="Times New Roman" w:eastAsia="Calibri" w:hAnsi="Times New Roman" w:cs="Times New Roman"/>
          <w:spacing w:val="-4"/>
          <w:sz w:val="28"/>
          <w:szCs w:val="28"/>
        </w:rPr>
        <w:t xml:space="preserve">-19, нарушают перфузионно-вентиляционный градиент, что приводит к гипоксии. Оксигенотерапия необходима как поддерживающая гомеостаз терапия. Так на сегодняшний день используют инвазивные и неинвазивные методы оксигенации крови [109]. </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lastRenderedPageBreak/>
        <w:t xml:space="preserve">Симптоматическое лечение – применяется не зависимости от степени тяжести и в случаях легкой и средней степени тяжести являются рекомендуемым подходом в терапии </w:t>
      </w:r>
      <w:r w:rsidRPr="00454AF9">
        <w:rPr>
          <w:rFonts w:ascii="Times New Roman" w:eastAsia="Calibri" w:hAnsi="Times New Roman" w:cs="Times New Roman"/>
          <w:spacing w:val="-4"/>
          <w:sz w:val="28"/>
          <w:szCs w:val="28"/>
          <w:lang w:val="en-US"/>
        </w:rPr>
        <w:t>COVID</w:t>
      </w:r>
      <w:r w:rsidRPr="00454AF9">
        <w:rPr>
          <w:rFonts w:ascii="Times New Roman" w:eastAsia="Calibri" w:hAnsi="Times New Roman" w:cs="Times New Roman"/>
          <w:spacing w:val="-4"/>
          <w:sz w:val="28"/>
          <w:szCs w:val="28"/>
        </w:rPr>
        <w:t xml:space="preserve">-19.  Так, данная терапия направленна на снижения или удаления клинчиского проявления </w:t>
      </w:r>
      <w:r w:rsidRPr="00454AF9">
        <w:rPr>
          <w:rFonts w:ascii="Times New Roman" w:eastAsia="Calibri" w:hAnsi="Times New Roman" w:cs="Times New Roman"/>
          <w:spacing w:val="-4"/>
          <w:sz w:val="28"/>
          <w:szCs w:val="28"/>
          <w:lang w:val="en-US"/>
        </w:rPr>
        <w:t>COVID</w:t>
      </w:r>
      <w:r w:rsidRPr="00454AF9">
        <w:rPr>
          <w:rFonts w:ascii="Times New Roman" w:eastAsia="Calibri" w:hAnsi="Times New Roman" w:cs="Times New Roman"/>
          <w:spacing w:val="-4"/>
          <w:sz w:val="28"/>
          <w:szCs w:val="28"/>
        </w:rPr>
        <w:t>-19. Например; применение парацетамола/ибупрофена в случаях лихорадки, энтеральная или парентеральная регидротация в случаях дифцита жидкости в период болезни и т д. [81-93, 101-107].</w:t>
      </w:r>
    </w:p>
    <w:p w:rsidR="007C004C" w:rsidRPr="00454AF9" w:rsidRDefault="007C004C" w:rsidP="00454AF9">
      <w:pPr>
        <w:spacing w:after="0" w:line="360" w:lineRule="auto"/>
        <w:ind w:firstLine="567"/>
        <w:jc w:val="both"/>
        <w:rPr>
          <w:rFonts w:ascii="Times New Roman" w:eastAsia="Calibri" w:hAnsi="Times New Roman" w:cs="Times New Roman"/>
          <w:b/>
          <w:spacing w:val="-4"/>
          <w:sz w:val="28"/>
          <w:szCs w:val="28"/>
        </w:rPr>
      </w:pPr>
    </w:p>
    <w:p w:rsidR="00537DDE" w:rsidRPr="00454AF9" w:rsidRDefault="00537DDE" w:rsidP="00454AF9">
      <w:pPr>
        <w:spacing w:after="0" w:line="360" w:lineRule="auto"/>
        <w:ind w:firstLine="567"/>
        <w:jc w:val="both"/>
        <w:rPr>
          <w:rFonts w:ascii="Times New Roman" w:eastAsia="Calibri" w:hAnsi="Times New Roman" w:cs="Times New Roman"/>
          <w:b/>
          <w:spacing w:val="-4"/>
          <w:sz w:val="28"/>
          <w:szCs w:val="28"/>
        </w:rPr>
      </w:pPr>
      <w:r w:rsidRPr="00454AF9">
        <w:rPr>
          <w:rFonts w:ascii="Times New Roman" w:eastAsia="Calibri" w:hAnsi="Times New Roman" w:cs="Times New Roman"/>
          <w:b/>
          <w:spacing w:val="-4"/>
          <w:sz w:val="28"/>
          <w:szCs w:val="28"/>
        </w:rPr>
        <w:t xml:space="preserve">1.4.5. Реабилитационные мероприятия для пациентов с </w:t>
      </w:r>
      <w:r w:rsidRPr="00454AF9">
        <w:rPr>
          <w:rFonts w:ascii="Times New Roman" w:eastAsia="Calibri" w:hAnsi="Times New Roman" w:cs="Times New Roman"/>
          <w:b/>
          <w:spacing w:val="-4"/>
          <w:sz w:val="28"/>
          <w:szCs w:val="28"/>
          <w:lang w:val="en-US"/>
        </w:rPr>
        <w:t>COVID</w:t>
      </w:r>
      <w:r w:rsidRPr="00454AF9">
        <w:rPr>
          <w:rFonts w:ascii="Times New Roman" w:eastAsia="Calibri" w:hAnsi="Times New Roman" w:cs="Times New Roman"/>
          <w:b/>
          <w:spacing w:val="-4"/>
          <w:sz w:val="28"/>
          <w:szCs w:val="28"/>
        </w:rPr>
        <w:t>-19</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В настоящее время реабилитационные мероприятия начинаются с первого дня госпитализации/амбулаторного наблюдения и продолжается после выписки пациента. </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В период госпитализации/наблюдения реабилитация сводится к предотвращению ухудшения состояния и носят профилактический характер относительно ослабленных функций органов и их систем. Во втором этапе, в первые 30 дней после выписки подключаются различные физиотерапевтические, трудотерапевтические и психотерапевтические мероприятия в целях восстановления функционального состояния органов, систем и организма в целях укрепления в период реконвалесценции [110-115].</w:t>
      </w:r>
    </w:p>
    <w:p w:rsidR="007C004C" w:rsidRPr="00454AF9" w:rsidRDefault="007C004C" w:rsidP="00454AF9">
      <w:pPr>
        <w:spacing w:after="0" w:line="360" w:lineRule="auto"/>
        <w:ind w:firstLine="567"/>
        <w:jc w:val="both"/>
        <w:rPr>
          <w:rFonts w:ascii="Times New Roman" w:eastAsia="Calibri" w:hAnsi="Times New Roman" w:cs="Times New Roman"/>
          <w:b/>
          <w:spacing w:val="-4"/>
          <w:sz w:val="28"/>
          <w:szCs w:val="28"/>
        </w:rPr>
      </w:pPr>
    </w:p>
    <w:p w:rsidR="00537DDE" w:rsidRPr="00454AF9" w:rsidRDefault="00537DDE" w:rsidP="00454AF9">
      <w:pPr>
        <w:spacing w:after="0" w:line="360" w:lineRule="auto"/>
        <w:ind w:firstLine="567"/>
        <w:jc w:val="both"/>
        <w:rPr>
          <w:rFonts w:ascii="Times New Roman" w:eastAsia="Calibri" w:hAnsi="Times New Roman" w:cs="Times New Roman"/>
          <w:b/>
          <w:spacing w:val="-4"/>
          <w:sz w:val="28"/>
          <w:szCs w:val="28"/>
        </w:rPr>
      </w:pPr>
      <w:r w:rsidRPr="00454AF9">
        <w:rPr>
          <w:rFonts w:ascii="Times New Roman" w:eastAsia="Calibri" w:hAnsi="Times New Roman" w:cs="Times New Roman"/>
          <w:b/>
          <w:spacing w:val="-4"/>
          <w:sz w:val="28"/>
          <w:szCs w:val="28"/>
        </w:rPr>
        <w:t xml:space="preserve">1.4.6. Профилактические мероприятия </w:t>
      </w:r>
      <w:r w:rsidRPr="00454AF9">
        <w:rPr>
          <w:rFonts w:ascii="Times New Roman" w:eastAsia="Calibri" w:hAnsi="Times New Roman" w:cs="Times New Roman"/>
          <w:b/>
          <w:spacing w:val="-4"/>
          <w:sz w:val="28"/>
          <w:szCs w:val="28"/>
          <w:lang w:val="en-US"/>
        </w:rPr>
        <w:t>COVID</w:t>
      </w:r>
      <w:r w:rsidRPr="00454AF9">
        <w:rPr>
          <w:rFonts w:ascii="Times New Roman" w:eastAsia="Calibri" w:hAnsi="Times New Roman" w:cs="Times New Roman"/>
          <w:b/>
          <w:spacing w:val="-4"/>
          <w:sz w:val="28"/>
          <w:szCs w:val="28"/>
        </w:rPr>
        <w:t xml:space="preserve">-19. </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Профилактические мероприятия включают в себя: отслеживание случаев, изоляцию, социальную дистанцию, личную гигиену и вакцинацию [116-120].</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В период начала и разгара пандемии </w:t>
      </w:r>
      <w:r w:rsidRPr="00454AF9">
        <w:rPr>
          <w:rFonts w:ascii="Times New Roman" w:eastAsia="Calibri" w:hAnsi="Times New Roman" w:cs="Times New Roman"/>
          <w:spacing w:val="-4"/>
          <w:sz w:val="28"/>
          <w:szCs w:val="28"/>
          <w:lang w:val="en-US"/>
        </w:rPr>
        <w:t>COVID</w:t>
      </w:r>
      <w:r w:rsidRPr="00454AF9">
        <w:rPr>
          <w:rFonts w:ascii="Times New Roman" w:eastAsia="Calibri" w:hAnsi="Times New Roman" w:cs="Times New Roman"/>
          <w:spacing w:val="-4"/>
          <w:sz w:val="28"/>
          <w:szCs w:val="28"/>
        </w:rPr>
        <w:t xml:space="preserve">-19, а так же отсутвия вакцины от </w:t>
      </w:r>
      <w:r w:rsidRPr="00454AF9">
        <w:rPr>
          <w:rFonts w:ascii="Times New Roman" w:eastAsia="Calibri" w:hAnsi="Times New Roman" w:cs="Times New Roman"/>
          <w:spacing w:val="-4"/>
          <w:sz w:val="28"/>
          <w:szCs w:val="28"/>
          <w:lang w:val="en-US"/>
        </w:rPr>
        <w:t>COVID</w:t>
      </w:r>
      <w:r w:rsidRPr="00454AF9">
        <w:rPr>
          <w:rFonts w:ascii="Times New Roman" w:eastAsia="Calibri" w:hAnsi="Times New Roman" w:cs="Times New Roman"/>
          <w:spacing w:val="-4"/>
          <w:sz w:val="28"/>
          <w:szCs w:val="28"/>
        </w:rPr>
        <w:t xml:space="preserve">-19, комплекс мероприятий направленный на изоляцию и пропаганду личной гигиены, показал наилучшие результаты по сдерживанию волнообразного наплыва инфицированных в больницы Сингапура [121]. Эффективность своевременного и этапного внедрения карантинных мер снизил количество госпитализаций в реанимационные отделения и палаты интенсивной терапии в Италии и США [55, 122, 123]. </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lastRenderedPageBreak/>
        <w:t xml:space="preserve">Ношение масок, соблюдение социальной дистанции, введение карантинных мер, в 6 раз снизил передачу вируса </w:t>
      </w:r>
      <w:r w:rsidRPr="00454AF9">
        <w:rPr>
          <w:rFonts w:ascii="Times New Roman" w:eastAsia="Calibri" w:hAnsi="Times New Roman" w:cs="Times New Roman"/>
          <w:spacing w:val="-4"/>
          <w:sz w:val="28"/>
          <w:szCs w:val="28"/>
          <w:lang w:val="en-US"/>
        </w:rPr>
        <w:t>R</w:t>
      </w:r>
      <w:r w:rsidRPr="00454AF9">
        <w:rPr>
          <w:rFonts w:ascii="Times New Roman" w:eastAsia="Calibri" w:hAnsi="Times New Roman" w:cs="Times New Roman"/>
          <w:spacing w:val="-4"/>
          <w:sz w:val="28"/>
          <w:szCs w:val="28"/>
          <w:vertAlign w:val="subscript"/>
        </w:rPr>
        <w:t>0</w:t>
      </w:r>
      <w:r w:rsidRPr="00454AF9">
        <w:rPr>
          <w:rFonts w:ascii="Times New Roman" w:eastAsia="Calibri" w:hAnsi="Times New Roman" w:cs="Times New Roman"/>
          <w:spacing w:val="-4"/>
          <w:sz w:val="28"/>
          <w:szCs w:val="28"/>
        </w:rPr>
        <w:t xml:space="preserve"> от 2.6 до 1.1 [150,151] и тем самым признаны наиболее эффективными методами по сдерживанию инфекционных заболеваний и смертностью от них [11, 124, 125].</w:t>
      </w:r>
    </w:p>
    <w:p w:rsidR="00537DDE" w:rsidRPr="00454AF9" w:rsidRDefault="00537DDE" w:rsidP="00454AF9">
      <w:pPr>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В настоящее время, продолжаются профилактические мероприятия специфического характера – вакцинация от </w:t>
      </w:r>
      <w:r w:rsidRPr="00454AF9">
        <w:rPr>
          <w:rFonts w:ascii="Times New Roman" w:eastAsia="Calibri" w:hAnsi="Times New Roman" w:cs="Times New Roman"/>
          <w:spacing w:val="-4"/>
          <w:sz w:val="28"/>
          <w:szCs w:val="28"/>
          <w:lang w:val="en-US"/>
        </w:rPr>
        <w:t>COVID</w:t>
      </w:r>
      <w:r w:rsidRPr="00454AF9">
        <w:rPr>
          <w:rFonts w:ascii="Times New Roman" w:eastAsia="Calibri" w:hAnsi="Times New Roman" w:cs="Times New Roman"/>
          <w:spacing w:val="-4"/>
          <w:sz w:val="28"/>
          <w:szCs w:val="28"/>
        </w:rPr>
        <w:t xml:space="preserve">-19 [119, 120]. </w:t>
      </w:r>
    </w:p>
    <w:p w:rsidR="007C004C" w:rsidRPr="00454AF9" w:rsidRDefault="007C004C" w:rsidP="00454AF9">
      <w:pPr>
        <w:spacing w:after="0" w:line="360" w:lineRule="auto"/>
        <w:ind w:firstLine="567"/>
        <w:jc w:val="both"/>
        <w:rPr>
          <w:rFonts w:ascii="Times New Roman" w:eastAsia="Calibri" w:hAnsi="Times New Roman" w:cs="Times New Roman"/>
          <w:spacing w:val="-4"/>
          <w:sz w:val="28"/>
          <w:szCs w:val="28"/>
        </w:rPr>
      </w:pPr>
    </w:p>
    <w:p w:rsidR="00537DDE" w:rsidRPr="00454AF9" w:rsidRDefault="00537DDE" w:rsidP="00454AF9">
      <w:pPr>
        <w:numPr>
          <w:ilvl w:val="1"/>
          <w:numId w:val="2"/>
        </w:numPr>
        <w:autoSpaceDE w:val="0"/>
        <w:autoSpaceDN w:val="0"/>
        <w:adjustRightInd w:val="0"/>
        <w:spacing w:after="0" w:line="360" w:lineRule="auto"/>
        <w:ind w:left="0" w:firstLine="567"/>
        <w:rPr>
          <w:rFonts w:ascii="Times New Roman" w:eastAsia="Calibri" w:hAnsi="Times New Roman" w:cs="Times New Roman"/>
          <w:b/>
          <w:spacing w:val="-4"/>
          <w:sz w:val="28"/>
          <w:szCs w:val="28"/>
        </w:rPr>
      </w:pPr>
      <w:r w:rsidRPr="00454AF9">
        <w:rPr>
          <w:rFonts w:ascii="Times New Roman" w:eastAsia="Calibri" w:hAnsi="Times New Roman" w:cs="Times New Roman"/>
          <w:b/>
          <w:spacing w:val="-4"/>
          <w:sz w:val="28"/>
          <w:szCs w:val="28"/>
        </w:rPr>
        <w:t xml:space="preserve">Иммунопатологические процессы при </w:t>
      </w:r>
      <w:r w:rsidRPr="00454AF9">
        <w:rPr>
          <w:rFonts w:ascii="Times New Roman" w:eastAsia="Calibri" w:hAnsi="Times New Roman" w:cs="Times New Roman"/>
          <w:b/>
          <w:spacing w:val="-4"/>
          <w:sz w:val="28"/>
          <w:szCs w:val="28"/>
          <w:lang w:val="en-US"/>
        </w:rPr>
        <w:t>COVID-19</w:t>
      </w:r>
    </w:p>
    <w:p w:rsidR="00537DDE" w:rsidRPr="00454AF9" w:rsidRDefault="00537DDE" w:rsidP="00454AF9">
      <w:pPr>
        <w:autoSpaceDE w:val="0"/>
        <w:autoSpaceDN w:val="0"/>
        <w:adjustRightInd w:val="0"/>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Первостепенным, в иммунной системы человека при </w:t>
      </w:r>
      <w:r w:rsidRPr="00454AF9">
        <w:rPr>
          <w:rFonts w:ascii="Times New Roman" w:eastAsia="Calibri" w:hAnsi="Times New Roman" w:cs="Times New Roman"/>
          <w:spacing w:val="-4"/>
          <w:sz w:val="28"/>
          <w:szCs w:val="28"/>
          <w:lang w:val="en-US"/>
        </w:rPr>
        <w:t>COVID</w:t>
      </w:r>
      <w:r w:rsidRPr="00454AF9">
        <w:rPr>
          <w:rFonts w:ascii="Times New Roman" w:eastAsia="Calibri" w:hAnsi="Times New Roman" w:cs="Times New Roman"/>
          <w:spacing w:val="-4"/>
          <w:sz w:val="28"/>
          <w:szCs w:val="28"/>
        </w:rPr>
        <w:t xml:space="preserve">-19,  является отсутствие защитного иммунного механизма [126], что нарушило стандартную первую линию противовирусной защиты [127]. Связи с этим, проявляется бесконтрольное действие цитокиновой системы в роли «пожарной кнопки» для отпора </w:t>
      </w:r>
      <w:r w:rsidRPr="00454AF9">
        <w:rPr>
          <w:rFonts w:ascii="Times New Roman" w:eastAsia="Calibri" w:hAnsi="Times New Roman" w:cs="Times New Roman"/>
          <w:spacing w:val="-4"/>
          <w:sz w:val="28"/>
          <w:szCs w:val="28"/>
          <w:lang w:val="en-US"/>
        </w:rPr>
        <w:t>Sars</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CoV</w:t>
      </w:r>
      <w:r w:rsidRPr="00454AF9">
        <w:rPr>
          <w:rFonts w:ascii="Times New Roman" w:eastAsia="Calibri" w:hAnsi="Times New Roman" w:cs="Times New Roman"/>
          <w:spacing w:val="-4"/>
          <w:sz w:val="28"/>
          <w:szCs w:val="28"/>
        </w:rPr>
        <w:t xml:space="preserve">-2 [127]. Инфицированные клетки первой линии не имеют возможности передавать сигнатуры по </w:t>
      </w:r>
      <w:r w:rsidRPr="00454AF9">
        <w:rPr>
          <w:rFonts w:ascii="Times New Roman" w:eastAsia="Calibri" w:hAnsi="Times New Roman" w:cs="Times New Roman"/>
          <w:spacing w:val="-4"/>
          <w:sz w:val="28"/>
          <w:szCs w:val="28"/>
          <w:lang w:val="en-US"/>
        </w:rPr>
        <w:t>IFN</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I</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III</w:t>
      </w:r>
      <w:r w:rsidRPr="00454AF9">
        <w:rPr>
          <w:rFonts w:ascii="Times New Roman" w:eastAsia="Calibri" w:hAnsi="Times New Roman" w:cs="Times New Roman"/>
          <w:spacing w:val="-4"/>
          <w:sz w:val="28"/>
          <w:szCs w:val="28"/>
        </w:rPr>
        <w:t xml:space="preserve"> путям, в целях информирования последующего защитного «рубежа». Данный дисбаланс между система иммунного коммуницирования приводит к бесконтрольному выбросу цитокинов [126]. </w:t>
      </w:r>
    </w:p>
    <w:p w:rsidR="00537DDE" w:rsidRPr="00454AF9" w:rsidRDefault="00537DDE" w:rsidP="00454AF9">
      <w:pPr>
        <w:autoSpaceDE w:val="0"/>
        <w:autoSpaceDN w:val="0"/>
        <w:adjustRightInd w:val="0"/>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Поток цитокинов приводит к локальному и/или системному повреждению тканей  с параллельно снижающимся уровнем </w:t>
      </w:r>
      <w:r w:rsidRPr="00454AF9">
        <w:rPr>
          <w:rFonts w:ascii="Times New Roman" w:eastAsia="Calibri" w:hAnsi="Times New Roman" w:cs="Times New Roman"/>
          <w:spacing w:val="-4"/>
          <w:sz w:val="28"/>
          <w:szCs w:val="28"/>
          <w:lang w:val="en-US"/>
        </w:rPr>
        <w:t>CD</w:t>
      </w:r>
      <w:r w:rsidRPr="00454AF9">
        <w:rPr>
          <w:rFonts w:ascii="Times New Roman" w:eastAsia="Calibri" w:hAnsi="Times New Roman" w:cs="Times New Roman"/>
          <w:spacing w:val="-4"/>
          <w:sz w:val="28"/>
          <w:szCs w:val="28"/>
        </w:rPr>
        <w:t xml:space="preserve">4+; </w:t>
      </w:r>
      <w:r w:rsidRPr="00454AF9">
        <w:rPr>
          <w:rFonts w:ascii="Times New Roman" w:eastAsia="Calibri" w:hAnsi="Times New Roman" w:cs="Times New Roman"/>
          <w:spacing w:val="-4"/>
          <w:sz w:val="28"/>
          <w:szCs w:val="28"/>
          <w:lang w:val="en-US"/>
        </w:rPr>
        <w:t>CD</w:t>
      </w:r>
      <w:r w:rsidRPr="00454AF9">
        <w:rPr>
          <w:rFonts w:ascii="Times New Roman" w:eastAsia="Calibri" w:hAnsi="Times New Roman" w:cs="Times New Roman"/>
          <w:spacing w:val="-4"/>
          <w:sz w:val="28"/>
          <w:szCs w:val="28"/>
        </w:rPr>
        <w:t xml:space="preserve">8+ и Т-клеток [128, 128], в период реконвалисценции баланс между цитокинами и </w:t>
      </w:r>
      <w:r w:rsidRPr="00454AF9">
        <w:rPr>
          <w:rFonts w:ascii="Times New Roman" w:eastAsia="Calibri" w:hAnsi="Times New Roman" w:cs="Times New Roman"/>
          <w:spacing w:val="-4"/>
          <w:sz w:val="28"/>
          <w:szCs w:val="28"/>
          <w:lang w:val="en-US"/>
        </w:rPr>
        <w:t>CD</w:t>
      </w:r>
      <w:r w:rsidRPr="00454AF9">
        <w:rPr>
          <w:rFonts w:ascii="Times New Roman" w:eastAsia="Calibri" w:hAnsi="Times New Roman" w:cs="Times New Roman"/>
          <w:spacing w:val="-4"/>
          <w:sz w:val="28"/>
          <w:szCs w:val="28"/>
        </w:rPr>
        <w:t>4/</w:t>
      </w:r>
      <w:r w:rsidRPr="00454AF9">
        <w:rPr>
          <w:rFonts w:ascii="Times New Roman" w:eastAsia="Calibri" w:hAnsi="Times New Roman" w:cs="Times New Roman"/>
          <w:spacing w:val="-4"/>
          <w:sz w:val="28"/>
          <w:szCs w:val="28"/>
          <w:lang w:val="en-US"/>
        </w:rPr>
        <w:t>CD</w:t>
      </w:r>
      <w:r w:rsidRPr="00454AF9">
        <w:rPr>
          <w:rFonts w:ascii="Times New Roman" w:eastAsia="Calibri" w:hAnsi="Times New Roman" w:cs="Times New Roman"/>
          <w:spacing w:val="-4"/>
          <w:sz w:val="28"/>
          <w:szCs w:val="28"/>
        </w:rPr>
        <w:t>8 восстанавливается [130, 131].</w:t>
      </w:r>
    </w:p>
    <w:p w:rsidR="00537DDE" w:rsidRPr="00454AF9" w:rsidRDefault="00537DDE" w:rsidP="00454AF9">
      <w:pPr>
        <w:autoSpaceDE w:val="0"/>
        <w:autoSpaceDN w:val="0"/>
        <w:adjustRightInd w:val="0"/>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Помимо клеточного механизма, в период инфицирования, активно проявляется гуморальный иммунитет, что отражается активным синтезированием </w:t>
      </w:r>
      <w:r w:rsidRPr="00454AF9">
        <w:rPr>
          <w:rFonts w:ascii="Times New Roman" w:eastAsia="Calibri" w:hAnsi="Times New Roman" w:cs="Times New Roman"/>
          <w:spacing w:val="-4"/>
          <w:sz w:val="28"/>
          <w:szCs w:val="28"/>
          <w:lang w:val="en-US"/>
        </w:rPr>
        <w:t>IgM</w:t>
      </w:r>
      <w:r w:rsidRPr="00454AF9">
        <w:rPr>
          <w:rFonts w:ascii="Times New Roman" w:eastAsia="Calibri" w:hAnsi="Times New Roman" w:cs="Times New Roman"/>
          <w:spacing w:val="-4"/>
          <w:sz w:val="28"/>
          <w:szCs w:val="28"/>
        </w:rPr>
        <w:t xml:space="preserve">, </w:t>
      </w:r>
      <w:r w:rsidRPr="00454AF9">
        <w:rPr>
          <w:rFonts w:ascii="Times New Roman" w:eastAsia="Calibri" w:hAnsi="Times New Roman" w:cs="Times New Roman"/>
          <w:spacing w:val="-4"/>
          <w:sz w:val="28"/>
          <w:szCs w:val="28"/>
          <w:lang w:val="en-US"/>
        </w:rPr>
        <w:t>IgA</w:t>
      </w:r>
      <w:r w:rsidRPr="00454AF9">
        <w:rPr>
          <w:rFonts w:ascii="Times New Roman" w:eastAsia="Calibri" w:hAnsi="Times New Roman" w:cs="Times New Roman"/>
          <w:spacing w:val="-4"/>
          <w:sz w:val="28"/>
          <w:szCs w:val="28"/>
        </w:rPr>
        <w:t xml:space="preserve"> и </w:t>
      </w:r>
      <w:r w:rsidRPr="00454AF9">
        <w:rPr>
          <w:rFonts w:ascii="Times New Roman" w:eastAsia="Calibri" w:hAnsi="Times New Roman" w:cs="Times New Roman"/>
          <w:spacing w:val="-4"/>
          <w:sz w:val="28"/>
          <w:szCs w:val="28"/>
          <w:lang w:val="en-US"/>
        </w:rPr>
        <w:t>IgG</w:t>
      </w:r>
      <w:r w:rsidRPr="00454AF9">
        <w:rPr>
          <w:rFonts w:ascii="Times New Roman" w:eastAsia="Calibri" w:hAnsi="Times New Roman" w:cs="Times New Roman"/>
          <w:spacing w:val="-4"/>
          <w:sz w:val="28"/>
          <w:szCs w:val="28"/>
        </w:rPr>
        <w:t xml:space="preserve"> с первого дня инфицирования [132-134].</w:t>
      </w:r>
    </w:p>
    <w:p w:rsidR="007C004C" w:rsidRPr="00454AF9" w:rsidRDefault="007C004C" w:rsidP="00454AF9">
      <w:pPr>
        <w:autoSpaceDE w:val="0"/>
        <w:autoSpaceDN w:val="0"/>
        <w:adjustRightInd w:val="0"/>
        <w:spacing w:after="0" w:line="360" w:lineRule="auto"/>
        <w:ind w:firstLine="567"/>
        <w:jc w:val="both"/>
        <w:rPr>
          <w:rFonts w:ascii="Times New Roman" w:eastAsia="Calibri" w:hAnsi="Times New Roman" w:cs="Times New Roman"/>
          <w:b/>
          <w:spacing w:val="-4"/>
          <w:sz w:val="28"/>
          <w:szCs w:val="28"/>
        </w:rPr>
      </w:pPr>
    </w:p>
    <w:p w:rsidR="00537DDE" w:rsidRPr="00454AF9" w:rsidRDefault="00537DDE" w:rsidP="00454AF9">
      <w:pPr>
        <w:numPr>
          <w:ilvl w:val="2"/>
          <w:numId w:val="2"/>
        </w:numPr>
        <w:autoSpaceDE w:val="0"/>
        <w:autoSpaceDN w:val="0"/>
        <w:adjustRightInd w:val="0"/>
        <w:spacing w:after="0" w:line="360" w:lineRule="auto"/>
        <w:ind w:left="0" w:firstLine="567"/>
        <w:jc w:val="both"/>
        <w:rPr>
          <w:rFonts w:ascii="Times New Roman" w:eastAsia="Calibri" w:hAnsi="Times New Roman" w:cs="Times New Roman"/>
          <w:b/>
          <w:spacing w:val="-4"/>
          <w:sz w:val="28"/>
          <w:szCs w:val="28"/>
        </w:rPr>
      </w:pPr>
      <w:r w:rsidRPr="00454AF9">
        <w:rPr>
          <w:rFonts w:ascii="Times New Roman" w:eastAsia="Calibri" w:hAnsi="Times New Roman" w:cs="Times New Roman"/>
          <w:b/>
          <w:spacing w:val="-4"/>
          <w:sz w:val="28"/>
          <w:szCs w:val="28"/>
        </w:rPr>
        <w:t xml:space="preserve">Гипервоспалительная реакция при </w:t>
      </w:r>
      <w:r w:rsidRPr="00454AF9">
        <w:rPr>
          <w:rFonts w:ascii="Times New Roman" w:eastAsia="Calibri" w:hAnsi="Times New Roman" w:cs="Times New Roman"/>
          <w:b/>
          <w:spacing w:val="-4"/>
          <w:sz w:val="28"/>
          <w:szCs w:val="28"/>
          <w:lang w:val="en-US"/>
        </w:rPr>
        <w:t>COVID-19</w:t>
      </w:r>
      <w:r w:rsidRPr="00454AF9">
        <w:rPr>
          <w:rFonts w:ascii="Times New Roman" w:eastAsia="Calibri" w:hAnsi="Times New Roman" w:cs="Times New Roman"/>
          <w:b/>
          <w:spacing w:val="-4"/>
          <w:sz w:val="28"/>
          <w:szCs w:val="28"/>
        </w:rPr>
        <w:t>.</w:t>
      </w:r>
    </w:p>
    <w:p w:rsidR="00537DDE" w:rsidRPr="00454AF9" w:rsidRDefault="00537DDE" w:rsidP="00454AF9">
      <w:pPr>
        <w:autoSpaceDE w:val="0"/>
        <w:autoSpaceDN w:val="0"/>
        <w:adjustRightInd w:val="0"/>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Прямое повреждение тканей первичной воспалительной реакцией на </w:t>
      </w:r>
      <w:r w:rsidRPr="00454AF9">
        <w:rPr>
          <w:rFonts w:ascii="Times New Roman" w:eastAsia="Calibri" w:hAnsi="Times New Roman" w:cs="Times New Roman"/>
          <w:spacing w:val="-4"/>
          <w:sz w:val="28"/>
          <w:szCs w:val="28"/>
          <w:lang w:val="en-US"/>
        </w:rPr>
        <w:t>Sars</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CoV</w:t>
      </w:r>
      <w:r w:rsidRPr="00454AF9">
        <w:rPr>
          <w:rFonts w:ascii="Times New Roman" w:eastAsia="Calibri" w:hAnsi="Times New Roman" w:cs="Times New Roman"/>
          <w:spacing w:val="-4"/>
          <w:sz w:val="28"/>
          <w:szCs w:val="28"/>
        </w:rPr>
        <w:t xml:space="preserve">-2 активирует, и в последующем, стимулирует миграцию гранулоцитов и макрофагов [135]. Макрофаги, в зоне поражения, увеличивают секрецию цитокинов и дополнительному привлечению лейкоцитов, приводя к системной </w:t>
      </w:r>
      <w:r w:rsidRPr="00454AF9">
        <w:rPr>
          <w:rFonts w:ascii="Times New Roman" w:eastAsia="Calibri" w:hAnsi="Times New Roman" w:cs="Times New Roman"/>
          <w:spacing w:val="-4"/>
          <w:sz w:val="28"/>
          <w:szCs w:val="28"/>
        </w:rPr>
        <w:lastRenderedPageBreak/>
        <w:t xml:space="preserve">воспалительной реакции [135]. В ряде исследований показано, что концентрация провоспалительных цитокинов и тяжесть клинического состояния, имеют прямую корреляционную связь [128, 136, 137]. ИЛ-1β, ИЛ-7, ИЛ-8, ИЛ-10 и </w:t>
      </w:r>
      <w:r w:rsidRPr="00454AF9">
        <w:rPr>
          <w:rFonts w:ascii="Times New Roman" w:eastAsia="Calibri" w:hAnsi="Times New Roman" w:cs="Times New Roman"/>
          <w:spacing w:val="-4"/>
          <w:sz w:val="28"/>
          <w:szCs w:val="28"/>
          <w:lang w:val="en-US"/>
        </w:rPr>
        <w:t>TNF</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α</w:t>
      </w:r>
      <w:r w:rsidRPr="00454AF9">
        <w:rPr>
          <w:rFonts w:ascii="Times New Roman" w:eastAsia="Calibri" w:hAnsi="Times New Roman" w:cs="Times New Roman"/>
          <w:spacing w:val="-4"/>
          <w:sz w:val="28"/>
          <w:szCs w:val="28"/>
        </w:rPr>
        <w:t xml:space="preserve"> повышаются у инфицированных лиц [138]. В исследованиях </w:t>
      </w:r>
      <w:r w:rsidRPr="00454AF9">
        <w:rPr>
          <w:rFonts w:ascii="Times New Roman" w:eastAsia="Calibri" w:hAnsi="Times New Roman" w:cs="Times New Roman"/>
          <w:spacing w:val="-4"/>
          <w:sz w:val="28"/>
          <w:szCs w:val="28"/>
          <w:lang w:val="en-US"/>
        </w:rPr>
        <w:t>Cin</w:t>
      </w:r>
      <w:r w:rsidRPr="00454AF9">
        <w:rPr>
          <w:rFonts w:ascii="Times New Roman" w:eastAsia="Calibri" w:hAnsi="Times New Roman" w:cs="Times New Roman"/>
          <w:spacing w:val="-4"/>
          <w:sz w:val="28"/>
          <w:szCs w:val="28"/>
        </w:rPr>
        <w:t xml:space="preserve"> </w:t>
      </w:r>
      <w:r w:rsidRPr="00454AF9">
        <w:rPr>
          <w:rFonts w:ascii="Times New Roman" w:eastAsia="Calibri" w:hAnsi="Times New Roman" w:cs="Times New Roman"/>
          <w:spacing w:val="-4"/>
          <w:sz w:val="28"/>
          <w:szCs w:val="28"/>
          <w:lang w:val="en-US"/>
        </w:rPr>
        <w:t>S</w:t>
      </w:r>
      <w:r w:rsidRPr="00454AF9">
        <w:rPr>
          <w:rFonts w:ascii="Times New Roman" w:eastAsia="Calibri" w:hAnsi="Times New Roman" w:cs="Times New Roman"/>
          <w:spacing w:val="-4"/>
          <w:sz w:val="28"/>
          <w:szCs w:val="28"/>
        </w:rPr>
        <w:t xml:space="preserve">. </w:t>
      </w:r>
      <w:r w:rsidRPr="00454AF9">
        <w:rPr>
          <w:rFonts w:ascii="Times New Roman" w:eastAsia="Calibri" w:hAnsi="Times New Roman" w:cs="Times New Roman"/>
          <w:spacing w:val="-4"/>
          <w:sz w:val="28"/>
          <w:szCs w:val="28"/>
          <w:lang w:val="en-US"/>
        </w:rPr>
        <w:t>et</w:t>
      </w:r>
      <w:r w:rsidRPr="00454AF9">
        <w:rPr>
          <w:rFonts w:ascii="Times New Roman" w:eastAsia="Calibri" w:hAnsi="Times New Roman" w:cs="Times New Roman"/>
          <w:spacing w:val="-4"/>
          <w:sz w:val="28"/>
          <w:szCs w:val="28"/>
        </w:rPr>
        <w:t xml:space="preserve"> </w:t>
      </w:r>
      <w:r w:rsidRPr="00454AF9">
        <w:rPr>
          <w:rFonts w:ascii="Times New Roman" w:eastAsia="Calibri" w:hAnsi="Times New Roman" w:cs="Times New Roman"/>
          <w:spacing w:val="-4"/>
          <w:sz w:val="28"/>
          <w:szCs w:val="28"/>
          <w:lang w:val="en-US"/>
        </w:rPr>
        <w:t>all</w:t>
      </w:r>
      <w:r w:rsidRPr="00454AF9">
        <w:rPr>
          <w:rFonts w:ascii="Times New Roman" w:eastAsia="Calibri" w:hAnsi="Times New Roman" w:cs="Times New Roman"/>
          <w:spacing w:val="-4"/>
          <w:sz w:val="28"/>
          <w:szCs w:val="28"/>
        </w:rPr>
        <w:t xml:space="preserve"> и </w:t>
      </w:r>
      <w:r w:rsidRPr="00454AF9">
        <w:rPr>
          <w:rFonts w:ascii="Times New Roman" w:eastAsia="Calibri" w:hAnsi="Times New Roman" w:cs="Times New Roman"/>
          <w:spacing w:val="-4"/>
          <w:sz w:val="28"/>
          <w:szCs w:val="28"/>
          <w:lang w:val="en-US"/>
        </w:rPr>
        <w:t>Ye</w:t>
      </w:r>
      <w:r w:rsidRPr="00454AF9">
        <w:rPr>
          <w:rFonts w:ascii="Times New Roman" w:eastAsia="Calibri" w:hAnsi="Times New Roman" w:cs="Times New Roman"/>
          <w:spacing w:val="-4"/>
          <w:sz w:val="28"/>
          <w:szCs w:val="28"/>
        </w:rPr>
        <w:t xml:space="preserve"> </w:t>
      </w:r>
      <w:r w:rsidRPr="00454AF9">
        <w:rPr>
          <w:rFonts w:ascii="Times New Roman" w:eastAsia="Calibri" w:hAnsi="Times New Roman" w:cs="Times New Roman"/>
          <w:spacing w:val="-4"/>
          <w:sz w:val="28"/>
          <w:szCs w:val="28"/>
          <w:lang w:val="en-US"/>
        </w:rPr>
        <w:t>Q</w:t>
      </w:r>
      <w:r w:rsidRPr="00454AF9">
        <w:rPr>
          <w:rFonts w:ascii="Times New Roman" w:eastAsia="Calibri" w:hAnsi="Times New Roman" w:cs="Times New Roman"/>
          <w:spacing w:val="-4"/>
          <w:sz w:val="28"/>
          <w:szCs w:val="28"/>
        </w:rPr>
        <w:t xml:space="preserve">. </w:t>
      </w:r>
      <w:r w:rsidRPr="00454AF9">
        <w:rPr>
          <w:rFonts w:ascii="Times New Roman" w:eastAsia="Calibri" w:hAnsi="Times New Roman" w:cs="Times New Roman"/>
          <w:spacing w:val="-4"/>
          <w:sz w:val="28"/>
          <w:szCs w:val="28"/>
          <w:lang w:val="en-US"/>
        </w:rPr>
        <w:t>et</w:t>
      </w:r>
      <w:r w:rsidRPr="00454AF9">
        <w:rPr>
          <w:rFonts w:ascii="Times New Roman" w:eastAsia="Calibri" w:hAnsi="Times New Roman" w:cs="Times New Roman"/>
          <w:spacing w:val="-4"/>
          <w:sz w:val="28"/>
          <w:szCs w:val="28"/>
        </w:rPr>
        <w:t xml:space="preserve"> </w:t>
      </w:r>
      <w:r w:rsidRPr="00454AF9">
        <w:rPr>
          <w:rFonts w:ascii="Times New Roman" w:eastAsia="Calibri" w:hAnsi="Times New Roman" w:cs="Times New Roman"/>
          <w:spacing w:val="-4"/>
          <w:sz w:val="28"/>
          <w:szCs w:val="28"/>
          <w:lang w:val="en-US"/>
        </w:rPr>
        <w:t>all</w:t>
      </w:r>
      <w:r w:rsidRPr="00454AF9">
        <w:rPr>
          <w:rFonts w:ascii="Times New Roman" w:eastAsia="Calibri" w:hAnsi="Times New Roman" w:cs="Times New Roman"/>
          <w:spacing w:val="-4"/>
          <w:sz w:val="28"/>
          <w:szCs w:val="28"/>
        </w:rPr>
        <w:t>, ИЛ-2 и ИЛ-6 – определяются как маркер неблагоприятного течения заболевания и формируют клиническое представление об общем клинчисеком состоянии пациента [128, 139]. Механизм гиперво</w:t>
      </w:r>
      <w:r w:rsidR="00454AF9" w:rsidRPr="00454AF9">
        <w:rPr>
          <w:rFonts w:ascii="Times New Roman" w:eastAsia="Calibri" w:hAnsi="Times New Roman" w:cs="Times New Roman"/>
          <w:spacing w:val="-4"/>
          <w:sz w:val="28"/>
          <w:szCs w:val="28"/>
        </w:rPr>
        <w:t>спалительной реакции отображен на</w:t>
      </w:r>
      <w:r w:rsidRPr="00454AF9">
        <w:rPr>
          <w:rFonts w:ascii="Times New Roman" w:eastAsia="Calibri" w:hAnsi="Times New Roman" w:cs="Times New Roman"/>
          <w:spacing w:val="-4"/>
          <w:sz w:val="28"/>
          <w:szCs w:val="28"/>
        </w:rPr>
        <w:t xml:space="preserve"> рис</w:t>
      </w:r>
      <w:r w:rsidR="00454AF9" w:rsidRPr="00454AF9">
        <w:rPr>
          <w:rFonts w:ascii="Times New Roman" w:eastAsia="Calibri" w:hAnsi="Times New Roman" w:cs="Times New Roman"/>
          <w:spacing w:val="-4"/>
          <w:sz w:val="28"/>
          <w:szCs w:val="28"/>
        </w:rPr>
        <w:t>унке</w:t>
      </w:r>
      <w:r w:rsidRPr="00454AF9">
        <w:rPr>
          <w:rFonts w:ascii="Times New Roman" w:eastAsia="Calibri" w:hAnsi="Times New Roman" w:cs="Times New Roman"/>
          <w:spacing w:val="-4"/>
          <w:sz w:val="28"/>
          <w:szCs w:val="28"/>
        </w:rPr>
        <w:t>1.5</w:t>
      </w:r>
      <w:r w:rsidR="00454AF9" w:rsidRPr="00454AF9">
        <w:rPr>
          <w:rFonts w:ascii="Times New Roman" w:eastAsia="Calibri" w:hAnsi="Times New Roman" w:cs="Times New Roman"/>
          <w:spacing w:val="-4"/>
          <w:sz w:val="28"/>
          <w:szCs w:val="28"/>
        </w:rPr>
        <w:t>.1.1</w:t>
      </w:r>
      <w:r w:rsidRPr="00454AF9">
        <w:rPr>
          <w:rFonts w:ascii="Times New Roman" w:eastAsia="Calibri" w:hAnsi="Times New Roman" w:cs="Times New Roman"/>
          <w:spacing w:val="-4"/>
          <w:sz w:val="28"/>
          <w:szCs w:val="28"/>
        </w:rPr>
        <w:t xml:space="preserve"> [140]. </w:t>
      </w:r>
    </w:p>
    <w:p w:rsidR="00537DDE" w:rsidRPr="00537DDE" w:rsidRDefault="00537DDE"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537DDE" w:rsidRPr="00537DDE" w:rsidRDefault="00537DDE" w:rsidP="00537DDE">
      <w:pPr>
        <w:autoSpaceDE w:val="0"/>
        <w:autoSpaceDN w:val="0"/>
        <w:adjustRightInd w:val="0"/>
        <w:spacing w:after="0" w:line="360" w:lineRule="auto"/>
        <w:jc w:val="both"/>
        <w:rPr>
          <w:rFonts w:ascii="Times New Roman" w:eastAsia="Calibri" w:hAnsi="Times New Roman" w:cs="Times New Roman"/>
          <w:sz w:val="28"/>
          <w:szCs w:val="28"/>
        </w:rPr>
      </w:pPr>
      <w:r w:rsidRPr="00537DDE">
        <w:rPr>
          <w:rFonts w:ascii="Times New Roman" w:eastAsia="Calibri" w:hAnsi="Times New Roman" w:cs="Times New Roman"/>
          <w:noProof/>
          <w:sz w:val="28"/>
          <w:szCs w:val="28"/>
          <w:lang w:eastAsia="ru-RU"/>
        </w:rPr>
        <w:drawing>
          <wp:inline distT="0" distB="0" distL="0" distR="0" wp14:anchorId="50A51D29" wp14:editId="152579C1">
            <wp:extent cx="5735782" cy="5735782"/>
            <wp:effectExtent l="0" t="0" r="0" b="0"/>
            <wp:docPr id="2" name="Рисунок 1" descr="An external file that holds a picture, illustration, etc.&#10;Object name is SJI-93-0-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n external file that holds a picture, illustration, etc.&#10;Object name is SJI-93-0-g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500" cy="5732500"/>
                    </a:xfrm>
                    <a:prstGeom prst="rect">
                      <a:avLst/>
                    </a:prstGeom>
                    <a:noFill/>
                    <a:ln>
                      <a:noFill/>
                    </a:ln>
                  </pic:spPr>
                </pic:pic>
              </a:graphicData>
            </a:graphic>
          </wp:inline>
        </w:drawing>
      </w:r>
    </w:p>
    <w:p w:rsidR="00537DDE" w:rsidRPr="00537DDE" w:rsidRDefault="00537DDE" w:rsidP="00537DDE">
      <w:pPr>
        <w:autoSpaceDE w:val="0"/>
        <w:autoSpaceDN w:val="0"/>
        <w:adjustRightInd w:val="0"/>
        <w:spacing w:after="0" w:line="360" w:lineRule="auto"/>
        <w:jc w:val="center"/>
        <w:rPr>
          <w:rFonts w:ascii="Times New Roman" w:eastAsia="Calibri" w:hAnsi="Times New Roman" w:cs="Times New Roman"/>
          <w:sz w:val="28"/>
          <w:szCs w:val="28"/>
        </w:rPr>
      </w:pPr>
      <w:r w:rsidRPr="00537DDE">
        <w:rPr>
          <w:rFonts w:ascii="Times New Roman" w:eastAsia="Calibri" w:hAnsi="Times New Roman" w:cs="Times New Roman"/>
          <w:sz w:val="28"/>
          <w:szCs w:val="28"/>
        </w:rPr>
        <w:t>Рисунок 1.5.</w:t>
      </w:r>
      <w:r w:rsidR="00454AF9">
        <w:rPr>
          <w:rFonts w:ascii="Times New Roman" w:eastAsia="Calibri" w:hAnsi="Times New Roman" w:cs="Times New Roman"/>
          <w:sz w:val="28"/>
          <w:szCs w:val="28"/>
        </w:rPr>
        <w:t xml:space="preserve">1.1 ‒ </w:t>
      </w:r>
      <w:r w:rsidRPr="00537DDE">
        <w:rPr>
          <w:rFonts w:ascii="Times New Roman" w:eastAsia="Calibri" w:hAnsi="Times New Roman" w:cs="Times New Roman"/>
          <w:sz w:val="28"/>
          <w:szCs w:val="28"/>
        </w:rPr>
        <w:t xml:space="preserve"> Иммунологические механизмы гипервоспаления</w:t>
      </w:r>
      <w:r w:rsidR="00454AF9">
        <w:rPr>
          <w:rFonts w:ascii="Times New Roman" w:eastAsia="Calibri" w:hAnsi="Times New Roman" w:cs="Times New Roman"/>
          <w:sz w:val="28"/>
          <w:szCs w:val="28"/>
        </w:rPr>
        <w:t xml:space="preserve">                                   </w:t>
      </w:r>
      <w:r w:rsidRPr="00537DDE">
        <w:rPr>
          <w:rFonts w:ascii="Times New Roman" w:eastAsia="Calibri" w:hAnsi="Times New Roman" w:cs="Times New Roman"/>
          <w:sz w:val="28"/>
          <w:szCs w:val="28"/>
        </w:rPr>
        <w:t xml:space="preserve"> при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-19.</w:t>
      </w:r>
    </w:p>
    <w:p w:rsidR="00537DDE" w:rsidRPr="00537DDE" w:rsidRDefault="00537DDE" w:rsidP="00454AF9">
      <w:pPr>
        <w:numPr>
          <w:ilvl w:val="2"/>
          <w:numId w:val="2"/>
        </w:numPr>
        <w:tabs>
          <w:tab w:val="left" w:pos="993"/>
        </w:tabs>
        <w:autoSpaceDE w:val="0"/>
        <w:autoSpaceDN w:val="0"/>
        <w:adjustRightInd w:val="0"/>
        <w:spacing w:after="0" w:line="360" w:lineRule="auto"/>
        <w:ind w:left="0" w:firstLine="567"/>
        <w:jc w:val="both"/>
        <w:rPr>
          <w:rFonts w:ascii="Times New Roman" w:eastAsia="Calibri" w:hAnsi="Times New Roman" w:cs="Times New Roman"/>
          <w:b/>
          <w:sz w:val="28"/>
          <w:szCs w:val="28"/>
        </w:rPr>
      </w:pPr>
      <w:r w:rsidRPr="00537DDE">
        <w:rPr>
          <w:rFonts w:ascii="Times New Roman" w:eastAsia="Calibri" w:hAnsi="Times New Roman" w:cs="Times New Roman"/>
          <w:b/>
          <w:sz w:val="28"/>
          <w:szCs w:val="28"/>
        </w:rPr>
        <w:lastRenderedPageBreak/>
        <w:t xml:space="preserve">Иммунологический механизм действия цитокинов, хемокинов и интерферонов при инфицировании </w:t>
      </w:r>
      <w:r w:rsidRPr="00537DDE">
        <w:rPr>
          <w:rFonts w:ascii="Times New Roman" w:eastAsia="Calibri" w:hAnsi="Times New Roman" w:cs="Times New Roman"/>
          <w:b/>
          <w:sz w:val="28"/>
          <w:szCs w:val="28"/>
          <w:lang w:val="en-US"/>
        </w:rPr>
        <w:t>HCoV</w:t>
      </w:r>
      <w:r w:rsidRPr="00537DDE">
        <w:rPr>
          <w:rFonts w:ascii="Times New Roman" w:eastAsia="Calibri" w:hAnsi="Times New Roman" w:cs="Times New Roman"/>
          <w:b/>
          <w:sz w:val="28"/>
          <w:szCs w:val="28"/>
        </w:rPr>
        <w:t>.</w:t>
      </w:r>
    </w:p>
    <w:p w:rsidR="00537DDE" w:rsidRPr="00454AF9" w:rsidRDefault="00537DDE" w:rsidP="00454AF9">
      <w:pPr>
        <w:tabs>
          <w:tab w:val="left" w:pos="993"/>
        </w:tabs>
        <w:autoSpaceDE w:val="0"/>
        <w:autoSpaceDN w:val="0"/>
        <w:adjustRightInd w:val="0"/>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lang w:val="en-US"/>
        </w:rPr>
        <w:t>Sars</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CoV</w:t>
      </w:r>
      <w:r w:rsidRPr="00454AF9">
        <w:rPr>
          <w:rFonts w:ascii="Times New Roman" w:eastAsia="Calibri" w:hAnsi="Times New Roman" w:cs="Times New Roman"/>
          <w:spacing w:val="-4"/>
          <w:sz w:val="28"/>
          <w:szCs w:val="28"/>
        </w:rPr>
        <w:t xml:space="preserve">-2, как источник цитокинового шторма, по иммунологическим механизмам имеет сродство с другими известными коронавирусами человека [141]. Экспериментальные исследования на культуре респираторного эпителия, показало задержку высвобождения иммуномодуляторов и низкие значения противовирусных </w:t>
      </w:r>
      <w:r w:rsidRPr="00454AF9">
        <w:rPr>
          <w:rFonts w:ascii="Times New Roman" w:eastAsia="Calibri" w:hAnsi="Times New Roman" w:cs="Times New Roman"/>
          <w:spacing w:val="-4"/>
          <w:sz w:val="28"/>
          <w:szCs w:val="28"/>
          <w:lang w:val="en-US"/>
        </w:rPr>
        <w:t>IFN</w:t>
      </w:r>
      <w:r w:rsidRPr="00454AF9">
        <w:rPr>
          <w:rFonts w:ascii="Times New Roman" w:eastAsia="Calibri" w:hAnsi="Times New Roman" w:cs="Times New Roman"/>
          <w:spacing w:val="-4"/>
          <w:sz w:val="28"/>
          <w:szCs w:val="28"/>
        </w:rPr>
        <w:t>, а также, значительное повышение провоспалительных цитокинов (ИЛ-1β, ИЛ-6, ФНО-α), хемокинов (</w:t>
      </w:r>
      <w:r w:rsidRPr="00454AF9">
        <w:rPr>
          <w:rFonts w:ascii="Times New Roman" w:eastAsia="Calibri" w:hAnsi="Times New Roman" w:cs="Times New Roman"/>
          <w:spacing w:val="-4"/>
          <w:sz w:val="28"/>
          <w:szCs w:val="28"/>
          <w:lang w:val="en-US"/>
        </w:rPr>
        <w:t>CLL</w:t>
      </w:r>
      <w:r w:rsidRPr="00454AF9">
        <w:rPr>
          <w:rFonts w:ascii="Times New Roman" w:eastAsia="Calibri" w:hAnsi="Times New Roman" w:cs="Times New Roman"/>
          <w:spacing w:val="-4"/>
          <w:sz w:val="28"/>
          <w:szCs w:val="28"/>
        </w:rPr>
        <w:t xml:space="preserve">-3 и </w:t>
      </w:r>
      <w:r w:rsidRPr="00454AF9">
        <w:rPr>
          <w:rFonts w:ascii="Times New Roman" w:eastAsia="Calibri" w:hAnsi="Times New Roman" w:cs="Times New Roman"/>
          <w:spacing w:val="-4"/>
          <w:sz w:val="28"/>
          <w:szCs w:val="28"/>
          <w:lang w:val="en-US"/>
        </w:rPr>
        <w:t>CLL</w:t>
      </w:r>
      <w:r w:rsidRPr="00454AF9">
        <w:rPr>
          <w:rFonts w:ascii="Times New Roman" w:eastAsia="Calibri" w:hAnsi="Times New Roman" w:cs="Times New Roman"/>
          <w:spacing w:val="-4"/>
          <w:sz w:val="28"/>
          <w:szCs w:val="28"/>
        </w:rPr>
        <w:t>-5) [142-144].</w:t>
      </w:r>
    </w:p>
    <w:p w:rsidR="00537DDE" w:rsidRPr="00454AF9" w:rsidRDefault="00537DDE" w:rsidP="00454AF9">
      <w:pPr>
        <w:tabs>
          <w:tab w:val="left" w:pos="993"/>
        </w:tabs>
        <w:autoSpaceDE w:val="0"/>
        <w:autoSpaceDN w:val="0"/>
        <w:adjustRightInd w:val="0"/>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Для коронавирусов человека характерно, повышенная концетрация нейтрофилов/моноцитов в паренхиме легких и периферической крови инфицированных, что коррелирует с уровнями провоспалительных цетокинов и хемокинов, что свидетельствует об участии их в развитии воспаления паренхимы при </w:t>
      </w:r>
      <w:r w:rsidRPr="00454AF9">
        <w:rPr>
          <w:rFonts w:ascii="Times New Roman" w:eastAsia="Calibri" w:hAnsi="Times New Roman" w:cs="Times New Roman"/>
          <w:spacing w:val="-4"/>
          <w:sz w:val="28"/>
          <w:szCs w:val="28"/>
          <w:lang w:val="en-US"/>
        </w:rPr>
        <w:t>COVID</w:t>
      </w:r>
      <w:r w:rsidRPr="00454AF9">
        <w:rPr>
          <w:rFonts w:ascii="Times New Roman" w:eastAsia="Calibri" w:hAnsi="Times New Roman" w:cs="Times New Roman"/>
          <w:spacing w:val="-4"/>
          <w:sz w:val="28"/>
          <w:szCs w:val="28"/>
        </w:rPr>
        <w:t xml:space="preserve">-19 [145, 146]. </w:t>
      </w:r>
    </w:p>
    <w:p w:rsidR="00537DDE" w:rsidRPr="00454AF9" w:rsidRDefault="00537DDE" w:rsidP="00454AF9">
      <w:pPr>
        <w:tabs>
          <w:tab w:val="left" w:pos="993"/>
        </w:tabs>
        <w:autoSpaceDE w:val="0"/>
        <w:autoSpaceDN w:val="0"/>
        <w:adjustRightInd w:val="0"/>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Синтез </w:t>
      </w:r>
      <w:r w:rsidRPr="00454AF9">
        <w:rPr>
          <w:rFonts w:ascii="Times New Roman" w:eastAsia="Calibri" w:hAnsi="Times New Roman" w:cs="Times New Roman"/>
          <w:spacing w:val="-4"/>
          <w:sz w:val="28"/>
          <w:szCs w:val="28"/>
          <w:lang w:val="en-US"/>
        </w:rPr>
        <w:t>IFN</w:t>
      </w:r>
      <w:r w:rsidRPr="00454AF9">
        <w:rPr>
          <w:rFonts w:ascii="Times New Roman" w:eastAsia="Calibri" w:hAnsi="Times New Roman" w:cs="Times New Roman"/>
          <w:spacing w:val="-4"/>
          <w:sz w:val="28"/>
          <w:szCs w:val="28"/>
        </w:rPr>
        <w:t xml:space="preserve">-1 и </w:t>
      </w:r>
      <w:r w:rsidRPr="00454AF9">
        <w:rPr>
          <w:rFonts w:ascii="Times New Roman" w:eastAsia="Calibri" w:hAnsi="Times New Roman" w:cs="Times New Roman"/>
          <w:spacing w:val="-4"/>
          <w:sz w:val="28"/>
          <w:szCs w:val="28"/>
          <w:lang w:val="en-US"/>
        </w:rPr>
        <w:t>IFN</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α</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β</w:t>
      </w:r>
      <w:r w:rsidRPr="00454AF9">
        <w:rPr>
          <w:rFonts w:ascii="Times New Roman" w:eastAsia="Calibri" w:hAnsi="Times New Roman" w:cs="Times New Roman"/>
          <w:spacing w:val="-4"/>
          <w:sz w:val="28"/>
          <w:szCs w:val="28"/>
        </w:rPr>
        <w:t xml:space="preserve">, как главных факторов естественного противовирусного иммунитета [147], при </w:t>
      </w:r>
      <w:r w:rsidRPr="00454AF9">
        <w:rPr>
          <w:rFonts w:ascii="Times New Roman" w:eastAsia="Calibri" w:hAnsi="Times New Roman" w:cs="Times New Roman"/>
          <w:spacing w:val="-4"/>
          <w:sz w:val="28"/>
          <w:szCs w:val="28"/>
          <w:lang w:val="en-US"/>
        </w:rPr>
        <w:t>HCoV</w:t>
      </w:r>
      <w:r w:rsidRPr="00454AF9">
        <w:rPr>
          <w:rFonts w:ascii="Times New Roman" w:eastAsia="Calibri" w:hAnsi="Times New Roman" w:cs="Times New Roman"/>
          <w:spacing w:val="-4"/>
          <w:sz w:val="28"/>
          <w:szCs w:val="28"/>
        </w:rPr>
        <w:t xml:space="preserve">, замедляется, что препятствует формированию защитных механизмов на ранних стадиях заболевания [148]. Парралеллельное повышения уровня цитокинов и хемокинов, привлекают в очаг нейтрофилов и моноцитов, как итог наблюдается непропорциональное инфильтрация альвеолярной ткани и ее повреждение [141, 149]. Привлеченные мононуклеарные макрофаги активируются посредством рецептора </w:t>
      </w:r>
      <w:r w:rsidRPr="00454AF9">
        <w:rPr>
          <w:rFonts w:ascii="Times New Roman" w:eastAsia="Calibri" w:hAnsi="Times New Roman" w:cs="Times New Roman"/>
          <w:spacing w:val="-4"/>
          <w:sz w:val="28"/>
          <w:szCs w:val="28"/>
          <w:lang w:val="en-US"/>
        </w:rPr>
        <w:t>IFN</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α</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β</w:t>
      </w:r>
      <w:r w:rsidRPr="00454AF9">
        <w:rPr>
          <w:rFonts w:ascii="Times New Roman" w:eastAsia="Calibri" w:hAnsi="Times New Roman" w:cs="Times New Roman"/>
          <w:spacing w:val="-4"/>
          <w:sz w:val="28"/>
          <w:szCs w:val="28"/>
        </w:rPr>
        <w:t xml:space="preserve">, секретируют </w:t>
      </w:r>
      <w:r w:rsidRPr="00454AF9">
        <w:rPr>
          <w:rFonts w:ascii="Times New Roman" w:eastAsia="Calibri" w:hAnsi="Times New Roman" w:cs="Times New Roman"/>
          <w:spacing w:val="-4"/>
          <w:sz w:val="28"/>
          <w:szCs w:val="28"/>
          <w:lang w:val="en-US"/>
        </w:rPr>
        <w:t>CLL</w:t>
      </w:r>
      <w:r w:rsidRPr="00454AF9">
        <w:rPr>
          <w:rFonts w:ascii="Times New Roman" w:eastAsia="Calibri" w:hAnsi="Times New Roman" w:cs="Times New Roman"/>
          <w:spacing w:val="-4"/>
          <w:sz w:val="28"/>
          <w:szCs w:val="28"/>
        </w:rPr>
        <w:t>-2 и С</w:t>
      </w:r>
      <w:r w:rsidRPr="00454AF9">
        <w:rPr>
          <w:rFonts w:ascii="Times New Roman" w:eastAsia="Calibri" w:hAnsi="Times New Roman" w:cs="Times New Roman"/>
          <w:spacing w:val="-4"/>
          <w:sz w:val="28"/>
          <w:szCs w:val="28"/>
          <w:lang w:val="en-US"/>
        </w:rPr>
        <w:t>LL</w:t>
      </w:r>
      <w:r w:rsidRPr="00454AF9">
        <w:rPr>
          <w:rFonts w:ascii="Times New Roman" w:eastAsia="Calibri" w:hAnsi="Times New Roman" w:cs="Times New Roman"/>
          <w:spacing w:val="-4"/>
          <w:sz w:val="28"/>
          <w:szCs w:val="28"/>
        </w:rPr>
        <w:t xml:space="preserve">-7, что приводит к агрегации макрофагов с последующим повышением концентрации цитокинов, хемоцинов и свободных радикалов. В комплексе: цитокины-хемокины- рецептор </w:t>
      </w:r>
      <w:r w:rsidRPr="00454AF9">
        <w:rPr>
          <w:rFonts w:ascii="Times New Roman" w:eastAsia="Calibri" w:hAnsi="Times New Roman" w:cs="Times New Roman"/>
          <w:spacing w:val="-4"/>
          <w:sz w:val="28"/>
          <w:szCs w:val="28"/>
          <w:lang w:val="en-US"/>
        </w:rPr>
        <w:t>IFN</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α</w:t>
      </w:r>
      <w:r w:rsidRPr="00454AF9">
        <w:rPr>
          <w:rFonts w:ascii="Times New Roman" w:eastAsia="Calibri" w:hAnsi="Times New Roman" w:cs="Times New Roman"/>
          <w:spacing w:val="-4"/>
          <w:sz w:val="28"/>
          <w:szCs w:val="28"/>
        </w:rPr>
        <w:t>/</w:t>
      </w:r>
      <w:r w:rsidRPr="00454AF9">
        <w:rPr>
          <w:rFonts w:ascii="Times New Roman" w:eastAsia="Calibri" w:hAnsi="Times New Roman" w:cs="Times New Roman"/>
          <w:spacing w:val="-4"/>
          <w:sz w:val="28"/>
          <w:szCs w:val="28"/>
          <w:lang w:val="en-US"/>
        </w:rPr>
        <w:t>β</w:t>
      </w:r>
      <w:r w:rsidRPr="00454AF9">
        <w:rPr>
          <w:rFonts w:ascii="Times New Roman" w:eastAsia="Calibri" w:hAnsi="Times New Roman" w:cs="Times New Roman"/>
          <w:spacing w:val="-4"/>
          <w:sz w:val="28"/>
          <w:szCs w:val="28"/>
        </w:rPr>
        <w:t xml:space="preserve"> приводит к активации рецептора </w:t>
      </w:r>
      <w:r w:rsidRPr="00454AF9">
        <w:rPr>
          <w:rFonts w:ascii="Times New Roman" w:eastAsia="Calibri" w:hAnsi="Times New Roman" w:cs="Times New Roman"/>
          <w:spacing w:val="-4"/>
          <w:sz w:val="28"/>
          <w:szCs w:val="28"/>
          <w:lang w:val="en-US"/>
        </w:rPr>
        <w:t>TRAIL</w:t>
      </w:r>
      <w:r w:rsidRPr="00454AF9">
        <w:rPr>
          <w:rFonts w:ascii="Times New Roman" w:eastAsia="Calibri" w:hAnsi="Times New Roman" w:cs="Times New Roman"/>
          <w:spacing w:val="-4"/>
          <w:sz w:val="28"/>
          <w:szCs w:val="28"/>
        </w:rPr>
        <w:t>-смерть, запуская механизм апоптоза [150-152].</w:t>
      </w:r>
    </w:p>
    <w:p w:rsidR="00537DDE" w:rsidRDefault="00537DDE" w:rsidP="00454AF9">
      <w:pPr>
        <w:tabs>
          <w:tab w:val="left" w:pos="993"/>
        </w:tabs>
        <w:autoSpaceDE w:val="0"/>
        <w:autoSpaceDN w:val="0"/>
        <w:adjustRightInd w:val="0"/>
        <w:spacing w:after="0" w:line="360" w:lineRule="auto"/>
        <w:ind w:firstLine="567"/>
        <w:jc w:val="both"/>
        <w:rPr>
          <w:rFonts w:ascii="Times New Roman" w:eastAsia="Calibri" w:hAnsi="Times New Roman" w:cs="Times New Roman"/>
          <w:spacing w:val="-4"/>
          <w:sz w:val="28"/>
          <w:szCs w:val="28"/>
        </w:rPr>
      </w:pPr>
      <w:r w:rsidRPr="00454AF9">
        <w:rPr>
          <w:rFonts w:ascii="Times New Roman" w:eastAsia="Calibri" w:hAnsi="Times New Roman" w:cs="Times New Roman"/>
          <w:spacing w:val="-4"/>
          <w:sz w:val="28"/>
          <w:szCs w:val="28"/>
        </w:rPr>
        <w:t xml:space="preserve">Как обобщенный итог, дисбаланс цитокиновой, хемокиновой и интерфероной системы приводит к активации множества механизмов смерти клеток легочной ткани [141, 149]. </w:t>
      </w:r>
    </w:p>
    <w:p w:rsidR="00454AF9" w:rsidRDefault="00454AF9" w:rsidP="00454AF9">
      <w:pPr>
        <w:tabs>
          <w:tab w:val="left" w:pos="993"/>
        </w:tabs>
        <w:autoSpaceDE w:val="0"/>
        <w:autoSpaceDN w:val="0"/>
        <w:adjustRightInd w:val="0"/>
        <w:spacing w:after="0" w:line="360" w:lineRule="auto"/>
        <w:ind w:firstLine="567"/>
        <w:jc w:val="both"/>
        <w:rPr>
          <w:rFonts w:ascii="Times New Roman" w:eastAsia="Calibri" w:hAnsi="Times New Roman" w:cs="Times New Roman"/>
          <w:spacing w:val="-4"/>
          <w:sz w:val="28"/>
          <w:szCs w:val="28"/>
        </w:rPr>
      </w:pPr>
    </w:p>
    <w:p w:rsidR="00454AF9" w:rsidRDefault="00454AF9" w:rsidP="00454AF9">
      <w:pPr>
        <w:tabs>
          <w:tab w:val="left" w:pos="993"/>
        </w:tabs>
        <w:autoSpaceDE w:val="0"/>
        <w:autoSpaceDN w:val="0"/>
        <w:adjustRightInd w:val="0"/>
        <w:spacing w:after="0" w:line="360" w:lineRule="auto"/>
        <w:ind w:firstLine="567"/>
        <w:jc w:val="both"/>
        <w:rPr>
          <w:rFonts w:ascii="Times New Roman" w:eastAsia="Calibri" w:hAnsi="Times New Roman" w:cs="Times New Roman"/>
          <w:spacing w:val="-4"/>
          <w:sz w:val="28"/>
          <w:szCs w:val="28"/>
        </w:rPr>
      </w:pPr>
    </w:p>
    <w:p w:rsidR="00454AF9" w:rsidRPr="00454AF9" w:rsidRDefault="00454AF9" w:rsidP="00454AF9">
      <w:pPr>
        <w:tabs>
          <w:tab w:val="left" w:pos="993"/>
        </w:tabs>
        <w:autoSpaceDE w:val="0"/>
        <w:autoSpaceDN w:val="0"/>
        <w:adjustRightInd w:val="0"/>
        <w:spacing w:after="0" w:line="360" w:lineRule="auto"/>
        <w:ind w:firstLine="567"/>
        <w:jc w:val="both"/>
        <w:rPr>
          <w:rFonts w:ascii="Times New Roman" w:eastAsia="Calibri" w:hAnsi="Times New Roman" w:cs="Times New Roman"/>
          <w:spacing w:val="-4"/>
          <w:sz w:val="28"/>
          <w:szCs w:val="28"/>
        </w:rPr>
      </w:pPr>
    </w:p>
    <w:p w:rsidR="00537DDE" w:rsidRPr="00537DDE" w:rsidRDefault="00537DDE" w:rsidP="00454AF9">
      <w:pPr>
        <w:numPr>
          <w:ilvl w:val="2"/>
          <w:numId w:val="2"/>
        </w:numPr>
        <w:tabs>
          <w:tab w:val="left" w:pos="993"/>
        </w:tabs>
        <w:autoSpaceDE w:val="0"/>
        <w:autoSpaceDN w:val="0"/>
        <w:adjustRightInd w:val="0"/>
        <w:spacing w:after="0" w:line="360" w:lineRule="auto"/>
        <w:ind w:left="0" w:firstLine="567"/>
        <w:jc w:val="both"/>
        <w:rPr>
          <w:rFonts w:ascii="Times New Roman" w:eastAsia="Calibri" w:hAnsi="Times New Roman" w:cs="Times New Roman"/>
          <w:b/>
          <w:sz w:val="28"/>
          <w:szCs w:val="28"/>
        </w:rPr>
      </w:pPr>
      <w:r w:rsidRPr="00537DDE">
        <w:rPr>
          <w:rFonts w:ascii="Times New Roman" w:eastAsia="Calibri" w:hAnsi="Times New Roman" w:cs="Times New Roman"/>
          <w:b/>
          <w:sz w:val="28"/>
          <w:szCs w:val="28"/>
        </w:rPr>
        <w:lastRenderedPageBreak/>
        <w:t xml:space="preserve">Функционирование лейкоцитов при </w:t>
      </w:r>
      <w:r w:rsidRPr="00537DDE">
        <w:rPr>
          <w:rFonts w:ascii="Times New Roman" w:eastAsia="Calibri" w:hAnsi="Times New Roman" w:cs="Times New Roman"/>
          <w:b/>
          <w:sz w:val="28"/>
          <w:szCs w:val="28"/>
          <w:lang w:val="en-US"/>
        </w:rPr>
        <w:t>COVID-19.</w:t>
      </w:r>
    </w:p>
    <w:p w:rsidR="00537DDE" w:rsidRPr="00537DDE" w:rsidRDefault="00537DDE" w:rsidP="00454AF9">
      <w:pPr>
        <w:tabs>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Общим свойством лейкоцитов при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явилось их тенденция к снижению. Так в ряде исследований отмечалось популяционное снижение </w:t>
      </w:r>
      <w:r w:rsidRPr="00537DDE">
        <w:rPr>
          <w:rFonts w:ascii="Times New Roman" w:eastAsia="Calibri" w:hAnsi="Times New Roman" w:cs="Times New Roman"/>
          <w:sz w:val="28"/>
          <w:szCs w:val="28"/>
          <w:lang w:val="en-US"/>
        </w:rPr>
        <w:t>CD</w:t>
      </w:r>
      <w:r w:rsidRPr="00537DDE">
        <w:rPr>
          <w:rFonts w:ascii="Times New Roman" w:eastAsia="Calibri" w:hAnsi="Times New Roman" w:cs="Times New Roman"/>
          <w:sz w:val="28"/>
          <w:szCs w:val="28"/>
        </w:rPr>
        <w:t xml:space="preserve">4+, </w:t>
      </w:r>
      <w:r w:rsidRPr="00537DDE">
        <w:rPr>
          <w:rFonts w:ascii="Times New Roman" w:eastAsia="Calibri" w:hAnsi="Times New Roman" w:cs="Times New Roman"/>
          <w:sz w:val="28"/>
          <w:szCs w:val="28"/>
          <w:lang w:val="en-US"/>
        </w:rPr>
        <w:t>CD</w:t>
      </w:r>
      <w:r w:rsidRPr="00537DDE">
        <w:rPr>
          <w:rFonts w:ascii="Times New Roman" w:eastAsia="Calibri" w:hAnsi="Times New Roman" w:cs="Times New Roman"/>
          <w:sz w:val="28"/>
          <w:szCs w:val="28"/>
        </w:rPr>
        <w:t xml:space="preserve">8+, </w:t>
      </w:r>
      <w:r w:rsidRPr="00537DDE">
        <w:rPr>
          <w:rFonts w:ascii="Times New Roman" w:eastAsia="Calibri" w:hAnsi="Times New Roman" w:cs="Times New Roman"/>
          <w:sz w:val="28"/>
          <w:szCs w:val="28"/>
          <w:lang w:val="en-US"/>
        </w:rPr>
        <w:t>B</w:t>
      </w:r>
      <w:r w:rsidRPr="00537DDE">
        <w:rPr>
          <w:rFonts w:ascii="Times New Roman" w:eastAsia="Calibri" w:hAnsi="Times New Roman" w:cs="Times New Roman"/>
          <w:sz w:val="28"/>
          <w:szCs w:val="28"/>
        </w:rPr>
        <w:t xml:space="preserve">-лимфоцитов и </w:t>
      </w:r>
      <w:r w:rsidRPr="00537DDE">
        <w:rPr>
          <w:rFonts w:ascii="Times New Roman" w:eastAsia="Calibri" w:hAnsi="Times New Roman" w:cs="Times New Roman"/>
          <w:sz w:val="28"/>
          <w:szCs w:val="28"/>
          <w:lang w:val="en-US"/>
        </w:rPr>
        <w:t>NK</w:t>
      </w:r>
      <w:r w:rsidRPr="00537DDE">
        <w:rPr>
          <w:rFonts w:ascii="Times New Roman" w:eastAsia="Calibri" w:hAnsi="Times New Roman" w:cs="Times New Roman"/>
          <w:sz w:val="28"/>
          <w:szCs w:val="28"/>
        </w:rPr>
        <w:t>-клеток [153, 154]. Базофилы и эозинофилы так же отмечались на низких значениях [154]. Нейтрофилы же имели тенденцию к росту, с увеличением отношения нейтрофилы/лимфоциты [154, 155]. Тяжесть состояния также как и в случае с цитокинами, коррелировало по отношению к отношению нейтрофилы/лимфоциты [155].</w:t>
      </w:r>
    </w:p>
    <w:p w:rsidR="00537DDE" w:rsidRPr="00537DDE" w:rsidRDefault="00537DDE" w:rsidP="00454AF9">
      <w:pPr>
        <w:tabs>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Логично, что значения лейкоцитов и их отношения не имело диагностического смысла при легких случаях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-19. Прогностический характер они обретают в тяжелом клиническом течении в сочетании эозинопенией и цитозом гранулоцитов [156-159].</w:t>
      </w:r>
    </w:p>
    <w:p w:rsidR="00537DDE" w:rsidRPr="00537DDE" w:rsidRDefault="00537DDE" w:rsidP="00454AF9">
      <w:pPr>
        <w:tabs>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Обобщая полученные данные, мы можем сказать что иммунные «качели» в лейкоцитах свидетельсвтвуют о дисбалансе в механизме клеточной защиты против </w:t>
      </w:r>
      <w:r w:rsidRPr="00537DDE">
        <w:rPr>
          <w:rFonts w:ascii="Times New Roman" w:eastAsia="Calibri" w:hAnsi="Times New Roman" w:cs="Times New Roman"/>
          <w:sz w:val="28"/>
          <w:szCs w:val="28"/>
          <w:lang w:val="en-US"/>
        </w:rPr>
        <w:t>Sars</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CoV</w:t>
      </w:r>
      <w:r w:rsidRPr="00537DDE">
        <w:rPr>
          <w:rFonts w:ascii="Times New Roman" w:eastAsia="Calibri" w:hAnsi="Times New Roman" w:cs="Times New Roman"/>
          <w:sz w:val="28"/>
          <w:szCs w:val="28"/>
        </w:rPr>
        <w:t>-2 [160].</w:t>
      </w:r>
    </w:p>
    <w:p w:rsidR="00454AF9" w:rsidRDefault="00454AF9" w:rsidP="00454AF9">
      <w:pPr>
        <w:tabs>
          <w:tab w:val="left" w:pos="993"/>
        </w:tabs>
        <w:autoSpaceDE w:val="0"/>
        <w:autoSpaceDN w:val="0"/>
        <w:adjustRightInd w:val="0"/>
        <w:spacing w:after="0" w:line="360" w:lineRule="auto"/>
        <w:ind w:firstLine="567"/>
        <w:jc w:val="both"/>
        <w:rPr>
          <w:rFonts w:ascii="Times New Roman" w:eastAsia="Calibri" w:hAnsi="Times New Roman" w:cs="Times New Roman"/>
          <w:b/>
          <w:sz w:val="28"/>
          <w:szCs w:val="28"/>
        </w:rPr>
      </w:pPr>
    </w:p>
    <w:p w:rsidR="00537DDE" w:rsidRPr="00537DDE" w:rsidRDefault="00537DDE" w:rsidP="00454AF9">
      <w:pPr>
        <w:numPr>
          <w:ilvl w:val="2"/>
          <w:numId w:val="2"/>
        </w:numPr>
        <w:tabs>
          <w:tab w:val="left" w:pos="993"/>
        </w:tabs>
        <w:autoSpaceDE w:val="0"/>
        <w:autoSpaceDN w:val="0"/>
        <w:adjustRightInd w:val="0"/>
        <w:spacing w:after="0" w:line="360" w:lineRule="auto"/>
        <w:ind w:left="0" w:firstLine="567"/>
        <w:jc w:val="both"/>
        <w:rPr>
          <w:rFonts w:ascii="Times New Roman" w:eastAsia="Calibri" w:hAnsi="Times New Roman" w:cs="Times New Roman"/>
          <w:b/>
          <w:sz w:val="28"/>
          <w:szCs w:val="28"/>
        </w:rPr>
      </w:pPr>
      <w:r w:rsidRPr="00537DDE">
        <w:rPr>
          <w:rFonts w:ascii="Times New Roman" w:eastAsia="Calibri" w:hAnsi="Times New Roman" w:cs="Times New Roman"/>
          <w:b/>
          <w:sz w:val="28"/>
          <w:szCs w:val="28"/>
        </w:rPr>
        <w:t xml:space="preserve">Иммунологические механизмы в сосудистом русле при </w:t>
      </w:r>
      <w:r w:rsidRPr="00537DDE">
        <w:rPr>
          <w:rFonts w:ascii="Times New Roman" w:eastAsia="Calibri" w:hAnsi="Times New Roman" w:cs="Times New Roman"/>
          <w:b/>
          <w:sz w:val="28"/>
          <w:szCs w:val="28"/>
          <w:lang w:val="en-US"/>
        </w:rPr>
        <w:t>COVID</w:t>
      </w:r>
      <w:r w:rsidRPr="00537DDE">
        <w:rPr>
          <w:rFonts w:ascii="Times New Roman" w:eastAsia="Calibri" w:hAnsi="Times New Roman" w:cs="Times New Roman"/>
          <w:b/>
          <w:sz w:val="28"/>
          <w:szCs w:val="28"/>
        </w:rPr>
        <w:t>-19.</w:t>
      </w:r>
    </w:p>
    <w:p w:rsidR="00537DDE" w:rsidRDefault="00537DDE" w:rsidP="00454AF9">
      <w:pPr>
        <w:tabs>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Нарушение свертывающей системы крови с повышением уровня </w:t>
      </w:r>
      <w:r w:rsidRPr="00537DDE">
        <w:rPr>
          <w:rFonts w:ascii="Times New Roman" w:eastAsia="Calibri" w:hAnsi="Times New Roman" w:cs="Times New Roman"/>
          <w:sz w:val="28"/>
          <w:szCs w:val="28"/>
          <w:lang w:val="en-US"/>
        </w:rPr>
        <w:t>D</w:t>
      </w:r>
      <w:r w:rsidRPr="00537DDE">
        <w:rPr>
          <w:rFonts w:ascii="Times New Roman" w:eastAsia="Calibri" w:hAnsi="Times New Roman" w:cs="Times New Roman"/>
          <w:sz w:val="28"/>
          <w:szCs w:val="28"/>
        </w:rPr>
        <w:t xml:space="preserve">-димера, один из главных маркеров клинического состояния пациентов [161]. Тромбозы, микротромбы легких и ДВС проявляющихся как результат аномального функционирования цитокиновой системы [162, 163]. Главным путем активации макрофагов в сосудистом русле выступают оксиленные фосфолипиды по пути </w:t>
      </w:r>
      <w:r w:rsidRPr="00537DDE">
        <w:rPr>
          <w:rFonts w:ascii="Times New Roman" w:eastAsia="Calibri" w:hAnsi="Times New Roman" w:cs="Times New Roman"/>
          <w:sz w:val="28"/>
          <w:szCs w:val="28"/>
          <w:lang w:val="en-US"/>
        </w:rPr>
        <w:t>TL</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TRIF</w:t>
      </w:r>
      <w:r w:rsidRPr="00537DDE">
        <w:rPr>
          <w:rFonts w:ascii="Times New Roman" w:eastAsia="Calibri" w:hAnsi="Times New Roman" w:cs="Times New Roman"/>
          <w:sz w:val="28"/>
          <w:szCs w:val="28"/>
        </w:rPr>
        <w:t>-</w:t>
      </w:r>
      <w:r w:rsidRPr="00537DDE">
        <w:rPr>
          <w:rFonts w:ascii="Times New Roman" w:eastAsia="Calibri" w:hAnsi="Times New Roman" w:cs="Times New Roman"/>
          <w:sz w:val="28"/>
          <w:szCs w:val="28"/>
          <w:lang w:val="en-US"/>
        </w:rPr>
        <w:t>TRAF</w:t>
      </w:r>
      <w:r w:rsidRPr="00537DDE">
        <w:rPr>
          <w:rFonts w:ascii="Times New Roman" w:eastAsia="Calibri" w:hAnsi="Times New Roman" w:cs="Times New Roman"/>
          <w:sz w:val="28"/>
          <w:szCs w:val="28"/>
        </w:rPr>
        <w:t>6-</w:t>
      </w:r>
      <w:r w:rsidRPr="00537DDE">
        <w:rPr>
          <w:rFonts w:ascii="Times New Roman" w:eastAsia="Calibri" w:hAnsi="Times New Roman" w:cs="Times New Roman"/>
          <w:sz w:val="28"/>
          <w:szCs w:val="28"/>
          <w:lang w:val="en-US"/>
        </w:rPr>
        <w:t>NF</w:t>
      </w:r>
      <w:r w:rsidRPr="00537DDE">
        <w:rPr>
          <w:rFonts w:ascii="Times New Roman" w:eastAsia="Calibri" w:hAnsi="Times New Roman" w:cs="Times New Roman"/>
          <w:sz w:val="28"/>
          <w:szCs w:val="28"/>
        </w:rPr>
        <w:t xml:space="preserve">-кВ, что характерно для </w:t>
      </w:r>
      <w:r w:rsidRPr="00537DDE">
        <w:rPr>
          <w:rFonts w:ascii="Times New Roman" w:eastAsia="Calibri" w:hAnsi="Times New Roman" w:cs="Times New Roman"/>
          <w:sz w:val="28"/>
          <w:szCs w:val="28"/>
          <w:lang w:val="en-US"/>
        </w:rPr>
        <w:t>HCoV</w:t>
      </w:r>
      <w:r w:rsidRPr="00537DDE">
        <w:rPr>
          <w:rFonts w:ascii="Times New Roman" w:eastAsia="Calibri" w:hAnsi="Times New Roman" w:cs="Times New Roman"/>
          <w:sz w:val="28"/>
          <w:szCs w:val="28"/>
        </w:rPr>
        <w:t xml:space="preserve"> [164-166]. Таким образом, в настоящее время, говорится о активации </w:t>
      </w:r>
      <w:r w:rsidRPr="00537DDE">
        <w:rPr>
          <w:rFonts w:ascii="Times New Roman" w:eastAsia="Calibri" w:hAnsi="Times New Roman" w:cs="Times New Roman"/>
          <w:sz w:val="28"/>
          <w:szCs w:val="28"/>
          <w:lang w:val="en-US"/>
        </w:rPr>
        <w:t>ACE</w:t>
      </w:r>
      <w:r w:rsidRPr="00537DDE">
        <w:rPr>
          <w:rFonts w:ascii="Times New Roman" w:eastAsia="Calibri" w:hAnsi="Times New Roman" w:cs="Times New Roman"/>
          <w:sz w:val="28"/>
          <w:szCs w:val="28"/>
        </w:rPr>
        <w:t xml:space="preserve">2 рецептора на стенках сосудистого русла, с последующим развитием воспалительной реакции, ввиду снижения положительного эффекта </w:t>
      </w:r>
      <w:r w:rsidRPr="00537DDE">
        <w:rPr>
          <w:rFonts w:ascii="Times New Roman" w:eastAsia="Calibri" w:hAnsi="Times New Roman" w:cs="Times New Roman"/>
          <w:sz w:val="28"/>
          <w:szCs w:val="28"/>
          <w:lang w:val="en-US"/>
        </w:rPr>
        <w:t>ACE</w:t>
      </w:r>
      <w:r w:rsidRPr="00537DDE">
        <w:rPr>
          <w:rFonts w:ascii="Times New Roman" w:eastAsia="Calibri" w:hAnsi="Times New Roman" w:cs="Times New Roman"/>
          <w:sz w:val="28"/>
          <w:szCs w:val="28"/>
        </w:rPr>
        <w:t xml:space="preserve">2 как противовоспалительного компонента в организме человека [165, 166]. Гипотезу подтверждает ряд наблюдений за детьми в период пандемии. Так дети менее подвержены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за тот же период отмечается рост заболеваемости </w:t>
      </w:r>
      <w:r w:rsidRPr="00537DDE">
        <w:rPr>
          <w:rFonts w:ascii="Times New Roman" w:eastAsia="Calibri" w:hAnsi="Times New Roman" w:cs="Times New Roman"/>
          <w:sz w:val="28"/>
          <w:szCs w:val="28"/>
        </w:rPr>
        <w:lastRenderedPageBreak/>
        <w:t>различного рода васкулитов [167-170]. Вопросы связанные с иммунопатологией в сосудистом русле остаются актуальными для обсуждения, в настоящем времени.</w:t>
      </w:r>
    </w:p>
    <w:p w:rsidR="00454AF9" w:rsidRPr="00537DDE" w:rsidRDefault="00454AF9" w:rsidP="00454AF9">
      <w:pPr>
        <w:tabs>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p>
    <w:p w:rsidR="00537DDE" w:rsidRPr="00537DDE" w:rsidRDefault="00537DDE" w:rsidP="00454AF9">
      <w:pPr>
        <w:numPr>
          <w:ilvl w:val="1"/>
          <w:numId w:val="2"/>
        </w:numPr>
        <w:tabs>
          <w:tab w:val="left" w:pos="851"/>
          <w:tab w:val="left" w:pos="993"/>
        </w:tabs>
        <w:autoSpaceDE w:val="0"/>
        <w:autoSpaceDN w:val="0"/>
        <w:adjustRightInd w:val="0"/>
        <w:spacing w:after="0" w:line="360" w:lineRule="auto"/>
        <w:ind w:left="0" w:firstLine="567"/>
        <w:jc w:val="both"/>
        <w:rPr>
          <w:rFonts w:ascii="Times New Roman" w:eastAsia="Calibri" w:hAnsi="Times New Roman" w:cs="Times New Roman"/>
          <w:b/>
          <w:sz w:val="28"/>
          <w:szCs w:val="28"/>
        </w:rPr>
      </w:pPr>
      <w:r w:rsidRPr="00537DDE">
        <w:rPr>
          <w:rFonts w:ascii="Times New Roman" w:eastAsia="Calibri" w:hAnsi="Times New Roman" w:cs="Times New Roman"/>
          <w:b/>
          <w:sz w:val="28"/>
          <w:szCs w:val="28"/>
        </w:rPr>
        <w:t xml:space="preserve">Дополнительные механизмы поддержания негативных эффектов </w:t>
      </w:r>
      <w:r w:rsidRPr="00537DDE">
        <w:rPr>
          <w:rFonts w:ascii="Times New Roman" w:eastAsia="Calibri" w:hAnsi="Times New Roman" w:cs="Times New Roman"/>
          <w:b/>
          <w:sz w:val="28"/>
          <w:szCs w:val="28"/>
          <w:lang w:val="en-US"/>
        </w:rPr>
        <w:t>COVID</w:t>
      </w:r>
      <w:r w:rsidRPr="00537DDE">
        <w:rPr>
          <w:rFonts w:ascii="Times New Roman" w:eastAsia="Calibri" w:hAnsi="Times New Roman" w:cs="Times New Roman"/>
          <w:b/>
          <w:sz w:val="28"/>
          <w:szCs w:val="28"/>
        </w:rPr>
        <w:t>-19.</w:t>
      </w:r>
    </w:p>
    <w:p w:rsid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Помимо основных патологических механизмов становления нозологии,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поддерживается механизмами свободно-радикального механизма воспаления на основе перекислого окисления липидов и дисбаланса регуляционного/контррегуляционного механизмов влияния </w:t>
      </w:r>
      <w:r w:rsidRPr="00537DDE">
        <w:rPr>
          <w:rFonts w:ascii="Times New Roman" w:eastAsia="Calibri" w:hAnsi="Times New Roman" w:cs="Times New Roman"/>
          <w:sz w:val="28"/>
          <w:szCs w:val="28"/>
          <w:lang w:val="en-US"/>
        </w:rPr>
        <w:t>ACE</w:t>
      </w:r>
      <w:r w:rsidRPr="00537DDE">
        <w:rPr>
          <w:rFonts w:ascii="Times New Roman" w:eastAsia="Calibri" w:hAnsi="Times New Roman" w:cs="Times New Roman"/>
          <w:sz w:val="28"/>
          <w:szCs w:val="28"/>
        </w:rPr>
        <w:t>2.</w:t>
      </w:r>
    </w:p>
    <w:p w:rsidR="00454AF9" w:rsidRPr="00537DDE" w:rsidRDefault="00454AF9"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p>
    <w:p w:rsidR="00537DDE" w:rsidRPr="00537DDE" w:rsidRDefault="00537DDE" w:rsidP="00454AF9">
      <w:pPr>
        <w:numPr>
          <w:ilvl w:val="2"/>
          <w:numId w:val="2"/>
        </w:numPr>
        <w:tabs>
          <w:tab w:val="left" w:pos="851"/>
          <w:tab w:val="left" w:pos="993"/>
        </w:tabs>
        <w:autoSpaceDE w:val="0"/>
        <w:autoSpaceDN w:val="0"/>
        <w:adjustRightInd w:val="0"/>
        <w:spacing w:after="0" w:line="360" w:lineRule="auto"/>
        <w:ind w:left="0" w:firstLine="567"/>
        <w:jc w:val="both"/>
        <w:rPr>
          <w:rFonts w:ascii="Times New Roman" w:eastAsia="Calibri" w:hAnsi="Times New Roman" w:cs="Times New Roman"/>
          <w:b/>
          <w:sz w:val="28"/>
          <w:szCs w:val="28"/>
        </w:rPr>
      </w:pPr>
      <w:r w:rsidRPr="00537DDE">
        <w:rPr>
          <w:rFonts w:ascii="Times New Roman" w:eastAsia="Calibri" w:hAnsi="Times New Roman" w:cs="Times New Roman"/>
          <w:b/>
          <w:sz w:val="28"/>
          <w:szCs w:val="28"/>
        </w:rPr>
        <w:t xml:space="preserve">Роли перекислого окисления липидов при </w:t>
      </w:r>
      <w:r w:rsidRPr="00537DDE">
        <w:rPr>
          <w:rFonts w:ascii="Times New Roman" w:eastAsia="Calibri" w:hAnsi="Times New Roman" w:cs="Times New Roman"/>
          <w:b/>
          <w:sz w:val="28"/>
          <w:szCs w:val="28"/>
          <w:lang w:val="en-US"/>
        </w:rPr>
        <w:t>COVID</w:t>
      </w:r>
      <w:r w:rsidRPr="00537DDE">
        <w:rPr>
          <w:rFonts w:ascii="Times New Roman" w:eastAsia="Calibri" w:hAnsi="Times New Roman" w:cs="Times New Roman"/>
          <w:b/>
          <w:sz w:val="28"/>
          <w:szCs w:val="28"/>
        </w:rPr>
        <w:t>-19.</w:t>
      </w:r>
    </w:p>
    <w:p w:rsidR="00537DDE" w:rsidRP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Ряд авторов выдвинули идеи касательно роли перекислого окисления липидов (ПОЛ) в патогенезе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ввиду его участия в большинстве воспалительных реакций сопровождающихся гипоксиемией [171-175]. </w:t>
      </w:r>
    </w:p>
    <w:p w:rsidR="00537DDE" w:rsidRP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В Испании проведено когортное исследование, результатом которого явилось, что у пациентов с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низкий уровень антиоксидантной защиты и более высокие значения антиоксидантных ферментов [176]. </w:t>
      </w:r>
    </w:p>
    <w:p w:rsidR="00537DDE" w:rsidRP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Стимулирование ПОЛ при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опосредуется ее особенностью к агрегации </w:t>
      </w:r>
      <w:r w:rsidRPr="00537DDE">
        <w:rPr>
          <w:rFonts w:ascii="Times New Roman" w:eastAsia="Calibri" w:hAnsi="Times New Roman" w:cs="Times New Roman"/>
          <w:sz w:val="28"/>
          <w:szCs w:val="28"/>
          <w:lang w:val="en-US"/>
        </w:rPr>
        <w:t>ACE</w:t>
      </w:r>
      <w:r w:rsidRPr="00537DDE">
        <w:rPr>
          <w:rFonts w:ascii="Times New Roman" w:eastAsia="Calibri" w:hAnsi="Times New Roman" w:cs="Times New Roman"/>
          <w:sz w:val="28"/>
          <w:szCs w:val="28"/>
        </w:rPr>
        <w:t xml:space="preserve">2, что приводит к дефициту </w:t>
      </w:r>
      <w:r w:rsidRPr="00537DDE">
        <w:rPr>
          <w:rFonts w:ascii="Times New Roman" w:eastAsia="Calibri" w:hAnsi="Times New Roman" w:cs="Times New Roman"/>
          <w:sz w:val="28"/>
          <w:szCs w:val="28"/>
          <w:lang w:val="en-US"/>
        </w:rPr>
        <w:t>ACE</w:t>
      </w:r>
      <w:r w:rsidRPr="00537DDE">
        <w:rPr>
          <w:rFonts w:ascii="Times New Roman" w:eastAsia="Calibri" w:hAnsi="Times New Roman" w:cs="Times New Roman"/>
          <w:sz w:val="28"/>
          <w:szCs w:val="28"/>
        </w:rPr>
        <w:t xml:space="preserve">2 и снижению антиоксилантной функции организма в целом. Снижение защиты приводит к накоплению супероксидов и как следствие запускается каскад ПОЛ [177]. Активация ПОЛ и ее циклично замкнутой системой самовоспроизведения приводит к стойкой дисфункции клеток в области поражения отягощая общее состояние пациентов [176-179]. Также нельзя не отметить роль ПОЛ в прогрессировании хронических заболеваний, таких как заболевания ССС, ХОБЛ, СД и других хронических патологий [180-185]. </w:t>
      </w:r>
    </w:p>
    <w:p w:rsidR="00537DDE" w:rsidRP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В настоящее время выявленно что высокий уровень активности ПОЛ при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ухудшают прогноз выживаемости в течении 28 дней пребывания в госпитале [176]. </w:t>
      </w:r>
    </w:p>
    <w:p w:rsidR="00537DDE" w:rsidRPr="00537DDE" w:rsidRDefault="00537DDE" w:rsidP="00454AF9">
      <w:pPr>
        <w:numPr>
          <w:ilvl w:val="2"/>
          <w:numId w:val="2"/>
        </w:numPr>
        <w:tabs>
          <w:tab w:val="left" w:pos="851"/>
          <w:tab w:val="left" w:pos="993"/>
        </w:tabs>
        <w:autoSpaceDE w:val="0"/>
        <w:autoSpaceDN w:val="0"/>
        <w:adjustRightInd w:val="0"/>
        <w:spacing w:after="0" w:line="360" w:lineRule="auto"/>
        <w:ind w:left="0" w:firstLine="567"/>
        <w:jc w:val="both"/>
        <w:rPr>
          <w:rFonts w:ascii="Times New Roman" w:eastAsia="Calibri" w:hAnsi="Times New Roman" w:cs="Times New Roman"/>
          <w:b/>
          <w:sz w:val="28"/>
          <w:szCs w:val="28"/>
        </w:rPr>
      </w:pPr>
      <w:r w:rsidRPr="00537DDE">
        <w:rPr>
          <w:rFonts w:ascii="Times New Roman" w:eastAsia="Calibri" w:hAnsi="Times New Roman" w:cs="Times New Roman"/>
          <w:b/>
          <w:sz w:val="28"/>
          <w:szCs w:val="28"/>
        </w:rPr>
        <w:lastRenderedPageBreak/>
        <w:t xml:space="preserve">Роль дефицита </w:t>
      </w:r>
      <w:r w:rsidRPr="00537DDE">
        <w:rPr>
          <w:rFonts w:ascii="Times New Roman" w:eastAsia="Calibri" w:hAnsi="Times New Roman" w:cs="Times New Roman"/>
          <w:b/>
          <w:sz w:val="28"/>
          <w:szCs w:val="28"/>
          <w:lang w:val="en-US"/>
        </w:rPr>
        <w:t>ACE</w:t>
      </w:r>
      <w:r w:rsidRPr="00537DDE">
        <w:rPr>
          <w:rFonts w:ascii="Times New Roman" w:eastAsia="Calibri" w:hAnsi="Times New Roman" w:cs="Times New Roman"/>
          <w:b/>
          <w:sz w:val="28"/>
          <w:szCs w:val="28"/>
        </w:rPr>
        <w:t xml:space="preserve">2 в патогенезе </w:t>
      </w:r>
      <w:r w:rsidRPr="00537DDE">
        <w:rPr>
          <w:rFonts w:ascii="Times New Roman" w:eastAsia="Calibri" w:hAnsi="Times New Roman" w:cs="Times New Roman"/>
          <w:b/>
          <w:sz w:val="28"/>
          <w:szCs w:val="28"/>
          <w:lang w:val="en-US"/>
        </w:rPr>
        <w:t>COVID</w:t>
      </w:r>
      <w:r w:rsidRPr="00537DDE">
        <w:rPr>
          <w:rFonts w:ascii="Times New Roman" w:eastAsia="Calibri" w:hAnsi="Times New Roman" w:cs="Times New Roman"/>
          <w:b/>
          <w:sz w:val="28"/>
          <w:szCs w:val="28"/>
        </w:rPr>
        <w:t>-19</w:t>
      </w:r>
    </w:p>
    <w:p w:rsidR="00537DDE" w:rsidRP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В результате проведенных исследований по всему миру, доказано сродность S-пептида Sars-CoV-2 к ангиотензин превращающему ферменту 2 типа (ACE2) экспрессируемом на поверхности множества клеток человека [186, 187]. Проведено существенное количество исследований по изучению осей взаимодействия ACE2 на течение COVID-19 и на ряд других заболеваний. Так в исследовании  Magalhaes GS et all. отображена ось: ACE2 – ангиотензин 1-7 – Mas рецептор – легкие. Где  показано что, ACE2, преобразуя ангиотензин 2 в ангиотензин 1-7 улучшает течение патологических состояний и предупреждает развития фиброза легких [188-191]. Так же связывание ACE2 с брадикинином в легких не допускает попадание последнего на брадикининовый рецептор B1, что блокирует отрицательные эффекты брадикининовых механизмов [192, 193].</w:t>
      </w:r>
    </w:p>
    <w:p w:rsidR="00537DDE" w:rsidRP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В проведенном исследовании в Германии определены механизмы влияния ACE2 на тромбоцитарную систему. Результатом исследования явилось экспрессия рецепторов Mas на поверхности тромбоцитов, активация первых ангиотензином 1-7, приводит к высвобождению простациклина и NO, что сопровождает выраженный антитромботический эффект [194-196]. </w:t>
      </w:r>
    </w:p>
    <w:p w:rsidR="00537DDE" w:rsidRP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Sars-CoV-2 связываясь с ACE2, проникает в клетку вместе с ACE2, что уменьшает общее количество ACE2 – это приводит к ослаблению оси формирования ангиотензина 1-7 с воздействием на Mas рецепторы и усилению оси синтеза ангиотензина 2 с воздействием на ангиотензиновые рецепторы 1 типа. [197-199].</w:t>
      </w:r>
    </w:p>
    <w:p w:rsidR="00537DDE" w:rsidRP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Отходя от фундаментальной физиологической функции ACE2, интересно заметить, что дефицит ACE2 усугубляется с возрастом и наблюдается чаще у мужчин чем женщин [200] коррелируя с показателями смертности от COVID-19 в гендерном аспекте [201]. В особенности нас интересует связь дефицита ACE2 с гипертензией. Так в исследовании  Чжун Дж и др. дефицит  ACE2 был связан с обострением гипертензии и гипертрофией сердца посредством накопления ангиотензина 2 [202]. Научные сообщества активно обсуждают о возможности пагубного влияния ACE2 на течение COVID-19 ввиду того что </w:t>
      </w:r>
      <w:r w:rsidRPr="00537DDE">
        <w:rPr>
          <w:rFonts w:ascii="Times New Roman" w:eastAsia="Calibri" w:hAnsi="Times New Roman" w:cs="Times New Roman"/>
          <w:sz w:val="28"/>
          <w:szCs w:val="28"/>
        </w:rPr>
        <w:lastRenderedPageBreak/>
        <w:t xml:space="preserve">ACE2 «входные ворота» для Sars-CoV-2, но высокое сродство S-пептида к ACE2 говорит о малой значимости количества ACE2 на поверхности </w:t>
      </w:r>
      <w:r w:rsidR="00454AF9">
        <w:rPr>
          <w:rFonts w:ascii="Times New Roman" w:eastAsia="Calibri" w:hAnsi="Times New Roman" w:cs="Times New Roman"/>
          <w:sz w:val="28"/>
          <w:szCs w:val="28"/>
        </w:rPr>
        <w:t xml:space="preserve">                  </w:t>
      </w:r>
      <w:r w:rsidRPr="00537DDE">
        <w:rPr>
          <w:rFonts w:ascii="Times New Roman" w:eastAsia="Calibri" w:hAnsi="Times New Roman" w:cs="Times New Roman"/>
          <w:sz w:val="28"/>
          <w:szCs w:val="28"/>
        </w:rPr>
        <w:t xml:space="preserve">клеток [203]. </w:t>
      </w:r>
    </w:p>
    <w:p w:rsid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К дополнению, дефицит ACE2 вызванный действием Sars-CoV-2, усиливает дисбаланс: по оси ангиотензина 2 (усиление пагубного влияния), по оси ангиотензина 1-7 (ослабление защитных механизмов), что уменьшает резерв компенсаторных механизмов при сопутствующей гипертензии</w:t>
      </w:r>
      <w:r w:rsidR="00454AF9">
        <w:rPr>
          <w:rFonts w:ascii="Times New Roman" w:eastAsia="Calibri" w:hAnsi="Times New Roman" w:cs="Times New Roman"/>
          <w:sz w:val="28"/>
          <w:szCs w:val="28"/>
        </w:rPr>
        <w:t xml:space="preserve">                     </w:t>
      </w:r>
      <w:r w:rsidRPr="00537DDE">
        <w:rPr>
          <w:rFonts w:ascii="Times New Roman" w:eastAsia="Calibri" w:hAnsi="Times New Roman" w:cs="Times New Roman"/>
          <w:sz w:val="28"/>
          <w:szCs w:val="28"/>
        </w:rPr>
        <w:t xml:space="preserve"> [204, 205].</w:t>
      </w:r>
    </w:p>
    <w:p w:rsidR="00454AF9" w:rsidRPr="00537DDE" w:rsidRDefault="00454AF9"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p>
    <w:p w:rsidR="00537DDE" w:rsidRPr="00537DDE" w:rsidRDefault="00537DDE" w:rsidP="00454AF9">
      <w:pPr>
        <w:numPr>
          <w:ilvl w:val="1"/>
          <w:numId w:val="2"/>
        </w:numPr>
        <w:tabs>
          <w:tab w:val="left" w:pos="851"/>
          <w:tab w:val="left" w:pos="993"/>
        </w:tabs>
        <w:autoSpaceDE w:val="0"/>
        <w:autoSpaceDN w:val="0"/>
        <w:adjustRightInd w:val="0"/>
        <w:spacing w:after="0" w:line="360" w:lineRule="auto"/>
        <w:ind w:left="0" w:firstLine="567"/>
        <w:jc w:val="both"/>
        <w:rPr>
          <w:rFonts w:ascii="Times New Roman" w:eastAsia="Calibri" w:hAnsi="Times New Roman" w:cs="Times New Roman"/>
          <w:b/>
          <w:sz w:val="28"/>
          <w:szCs w:val="28"/>
        </w:rPr>
      </w:pPr>
      <w:r w:rsidRPr="00537DDE">
        <w:rPr>
          <w:rFonts w:ascii="Times New Roman" w:eastAsia="Calibri" w:hAnsi="Times New Roman" w:cs="Times New Roman"/>
          <w:b/>
          <w:sz w:val="28"/>
          <w:szCs w:val="28"/>
        </w:rPr>
        <w:t xml:space="preserve">Влияние климатических факторов на </w:t>
      </w:r>
      <w:r w:rsidRPr="00537DDE">
        <w:rPr>
          <w:rFonts w:ascii="Times New Roman" w:eastAsia="Calibri" w:hAnsi="Times New Roman" w:cs="Times New Roman"/>
          <w:b/>
          <w:sz w:val="28"/>
          <w:szCs w:val="28"/>
          <w:lang w:val="en-US"/>
        </w:rPr>
        <w:t>COVID</w:t>
      </w:r>
      <w:r w:rsidRPr="00537DDE">
        <w:rPr>
          <w:rFonts w:ascii="Times New Roman" w:eastAsia="Calibri" w:hAnsi="Times New Roman" w:cs="Times New Roman"/>
          <w:b/>
          <w:sz w:val="28"/>
          <w:szCs w:val="28"/>
        </w:rPr>
        <w:t>-19.</w:t>
      </w:r>
    </w:p>
    <w:p w:rsidR="00537DDE" w:rsidRP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Климатические и географические факторы окружающей среды оказывают разносторонее влияние на биологические процессы в организме человека. Так, патологические процессы при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-19, в различных условиях окружающей среды притерпевают изменения «классических» механизмов [206].</w:t>
      </w:r>
    </w:p>
    <w:p w:rsidR="00537DDE" w:rsidRP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Первые предположения о влиянии климата на распространение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выдвинуты в Италии. Исследователи из Университета Калабрии отметили что относительная влажность и температура воздуха в течении дня оказывают влияние на статистику выявленных случаев [207]. Аналогичные наблюдения описали в исследовании из Университета Джоржии, иллюстрируя зависимость температуры, концентрации озона, относительной влажности и облочности с выявленными случаями в штате Нью-Йорк [208]. </w:t>
      </w:r>
      <w:r w:rsidRPr="00537DDE">
        <w:rPr>
          <w:rFonts w:ascii="Times New Roman" w:eastAsia="Calibri" w:hAnsi="Times New Roman" w:cs="Times New Roman"/>
          <w:sz w:val="28"/>
          <w:szCs w:val="28"/>
          <w:lang w:val="en-US"/>
        </w:rPr>
        <w:t>Katherine</w:t>
      </w:r>
      <w:r w:rsidRPr="00537DDE">
        <w:rPr>
          <w:rFonts w:ascii="Times New Roman" w:eastAsia="Calibri" w:hAnsi="Times New Roman" w:cs="Times New Roman"/>
          <w:sz w:val="28"/>
          <w:szCs w:val="28"/>
        </w:rPr>
        <w:t xml:space="preserve"> </w:t>
      </w:r>
      <w:r w:rsidRPr="00537DDE">
        <w:rPr>
          <w:rFonts w:ascii="Times New Roman" w:eastAsia="Calibri" w:hAnsi="Times New Roman" w:cs="Times New Roman"/>
          <w:sz w:val="28"/>
          <w:szCs w:val="28"/>
          <w:lang w:val="en-US"/>
        </w:rPr>
        <w:t>Li</w:t>
      </w:r>
      <w:r w:rsidRPr="00537DDE">
        <w:rPr>
          <w:rFonts w:ascii="Times New Roman" w:eastAsia="Calibri" w:hAnsi="Times New Roman" w:cs="Times New Roman"/>
          <w:sz w:val="28"/>
          <w:szCs w:val="28"/>
        </w:rPr>
        <w:t xml:space="preserve"> опубликовала тезис: «смертность от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во всех 50 штатах США напрямую коррелируют с влажностью окружающей среды, которую испытывает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-19» [209].</w:t>
      </w:r>
    </w:p>
    <w:p w:rsidR="00537DDE" w:rsidRP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Касаясь предметов исследования климатического влияния на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-19, стоит отметить что роль отводилась показателям: температуры, влажности, количества осадков, атмосферного давления, скорости ветра, уровню ультрафиолетового излучения и др [210-212].</w:t>
      </w:r>
    </w:p>
    <w:p w:rsidR="00537DDE" w:rsidRP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lastRenderedPageBreak/>
        <w:t>Из 300 статей посвященным, данной тематике, более половины оценивают температурный фактор и влажность, с меньшим вниманием на атмосферное давление [206].</w:t>
      </w:r>
    </w:p>
    <w:p w:rsidR="00537DDE" w:rsidRP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В Китае и Сингапуре, наблюдалось слабая отрицательная корреляционная зависимость между заболеваемостью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и атмосферным давлением [212, 213]. В индийском штате Мумбай, коэффициент корреляции ограничился на значениях </w:t>
      </w:r>
      <w:r w:rsidRPr="00537DDE">
        <w:rPr>
          <w:rFonts w:ascii="Times New Roman" w:eastAsia="Calibri" w:hAnsi="Times New Roman" w:cs="Times New Roman"/>
          <w:sz w:val="28"/>
          <w:szCs w:val="28"/>
          <w:lang w:val="en-US"/>
        </w:rPr>
        <w:t>R</w:t>
      </w:r>
      <w:r w:rsidRPr="00537DDE">
        <w:rPr>
          <w:rFonts w:ascii="Times New Roman" w:eastAsia="Calibri" w:hAnsi="Times New Roman" w:cs="Times New Roman"/>
          <w:sz w:val="28"/>
          <w:szCs w:val="28"/>
        </w:rPr>
        <w:t xml:space="preserve">=-0.20; -0.29 [214]. Исследование в трех других штатах Индии, оценило влияние атмосферного давления на заболеваемость в пределах </w:t>
      </w:r>
      <w:r w:rsidRPr="00537DDE">
        <w:rPr>
          <w:rFonts w:ascii="Times New Roman" w:eastAsia="Calibri" w:hAnsi="Times New Roman" w:cs="Times New Roman"/>
          <w:sz w:val="28"/>
          <w:szCs w:val="28"/>
          <w:lang w:val="en-US"/>
        </w:rPr>
        <w:t>R</w:t>
      </w:r>
      <w:r w:rsidRPr="00537DDE">
        <w:rPr>
          <w:rFonts w:ascii="Times New Roman" w:eastAsia="Calibri" w:hAnsi="Times New Roman" w:cs="Times New Roman"/>
          <w:sz w:val="28"/>
          <w:szCs w:val="28"/>
        </w:rPr>
        <w:t>=-0.56; -0.80 [215].</w:t>
      </w:r>
    </w:p>
    <w:p w:rsidR="00537DDE" w:rsidRP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Исходя из вышесказанного, можно прийти к выводу что заболеваемость и смертность от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имеет обратную корреляционную связь относительно атмосферного давления [206]. Противовесом вышесказанному тезису, приходится работа </w:t>
      </w:r>
      <w:r w:rsidRPr="00537DDE">
        <w:rPr>
          <w:rFonts w:ascii="Times New Roman" w:eastAsia="Calibri" w:hAnsi="Times New Roman" w:cs="Times New Roman"/>
          <w:sz w:val="28"/>
          <w:szCs w:val="28"/>
          <w:lang w:val="en-US"/>
        </w:rPr>
        <w:t>Nicole</w:t>
      </w:r>
      <w:r w:rsidRPr="00537DDE">
        <w:rPr>
          <w:rFonts w:ascii="Times New Roman" w:eastAsia="Calibri" w:hAnsi="Times New Roman" w:cs="Times New Roman"/>
          <w:sz w:val="28"/>
          <w:szCs w:val="28"/>
        </w:rPr>
        <w:t xml:space="preserve"> </w:t>
      </w:r>
      <w:r w:rsidRPr="00537DDE">
        <w:rPr>
          <w:rFonts w:ascii="Times New Roman" w:eastAsia="Calibri" w:hAnsi="Times New Roman" w:cs="Times New Roman"/>
          <w:sz w:val="28"/>
          <w:szCs w:val="28"/>
          <w:lang w:val="en-US"/>
        </w:rPr>
        <w:t>Y</w:t>
      </w:r>
      <w:r w:rsidRPr="00537DDE">
        <w:rPr>
          <w:rFonts w:ascii="Times New Roman" w:eastAsia="Calibri" w:hAnsi="Times New Roman" w:cs="Times New Roman"/>
          <w:sz w:val="28"/>
          <w:szCs w:val="28"/>
        </w:rPr>
        <w:t xml:space="preserve">. </w:t>
      </w:r>
      <w:r w:rsidRPr="00537DDE">
        <w:rPr>
          <w:rFonts w:ascii="Times New Roman" w:eastAsia="Calibri" w:hAnsi="Times New Roman" w:cs="Times New Roman"/>
          <w:sz w:val="28"/>
          <w:szCs w:val="28"/>
          <w:lang w:val="en-US"/>
        </w:rPr>
        <w:t>Leung</w:t>
      </w:r>
      <w:r w:rsidRPr="00537DDE">
        <w:rPr>
          <w:rFonts w:ascii="Times New Roman" w:eastAsia="Calibri" w:hAnsi="Times New Roman" w:cs="Times New Roman"/>
          <w:sz w:val="28"/>
          <w:szCs w:val="28"/>
        </w:rPr>
        <w:t xml:space="preserve"> </w:t>
      </w:r>
      <w:r w:rsidRPr="00537DDE">
        <w:rPr>
          <w:rFonts w:ascii="Times New Roman" w:eastAsia="Calibri" w:hAnsi="Times New Roman" w:cs="Times New Roman"/>
          <w:sz w:val="28"/>
          <w:szCs w:val="28"/>
          <w:lang w:val="en-US"/>
        </w:rPr>
        <w:t>et</w:t>
      </w:r>
      <w:r w:rsidRPr="00537DDE">
        <w:rPr>
          <w:rFonts w:ascii="Times New Roman" w:eastAsia="Calibri" w:hAnsi="Times New Roman" w:cs="Times New Roman"/>
          <w:sz w:val="28"/>
          <w:szCs w:val="28"/>
        </w:rPr>
        <w:t xml:space="preserve"> </w:t>
      </w:r>
      <w:r w:rsidRPr="00537DDE">
        <w:rPr>
          <w:rFonts w:ascii="Times New Roman" w:eastAsia="Calibri" w:hAnsi="Times New Roman" w:cs="Times New Roman"/>
          <w:sz w:val="28"/>
          <w:szCs w:val="28"/>
          <w:lang w:val="en-US"/>
        </w:rPr>
        <w:t>all</w:t>
      </w:r>
      <w:r w:rsidRPr="00537DDE">
        <w:rPr>
          <w:rFonts w:ascii="Times New Roman" w:eastAsia="Calibri" w:hAnsi="Times New Roman" w:cs="Times New Roman"/>
          <w:sz w:val="28"/>
          <w:szCs w:val="28"/>
        </w:rPr>
        <w:t xml:space="preserve">, в исследовании отражается болле динамичное распространение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-19 в высокогорных регионах мира, тогда как высокогорье характеризуется низким атмосферным давлением и высоким уровнем УФ-излучения [206, 216].</w:t>
      </w:r>
    </w:p>
    <w:p w:rsidR="00537DDE" w:rsidRP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В ряде исследований, выдвинули предположение, что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-19, как и другие воздушно-капельные респираторные инфекции лучше распространяется в холодном и сухом климате [217]. Оппозитно гипотезе «низкая температура-низкая влажность» выступают данные исследований проведенных во всех климатических регионах Китая, где высокогорный регион показал наименьшие значения заболеваемости и высокий коэффициент смертности [218, 219].</w:t>
      </w:r>
    </w:p>
    <w:p w:rsidR="00537DDE" w:rsidRPr="00537DDE" w:rsidRDefault="00537DDE" w:rsidP="00454AF9">
      <w:pPr>
        <w:tabs>
          <w:tab w:val="left" w:pos="851"/>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 xml:space="preserve">В исследованиях, по комплексной оценке, влияния климата, выявлено, что сочетание низкого атмосферного давления с высокой амплитудой колебаний температуры воздуха вызывает рост смертности и замедление заболеваемости. Данная концепция приемлема и для эпидемиологической картины Кыргызской Республики в период пандемии </w:t>
      </w:r>
      <w:r w:rsidRPr="00537DDE">
        <w:rPr>
          <w:rFonts w:ascii="Times New Roman" w:eastAsia="Calibri" w:hAnsi="Times New Roman" w:cs="Times New Roman"/>
          <w:sz w:val="28"/>
          <w:szCs w:val="28"/>
          <w:lang w:val="en-US"/>
        </w:rPr>
        <w:t>COVID</w:t>
      </w:r>
      <w:r w:rsidR="00FF46DF">
        <w:rPr>
          <w:rFonts w:ascii="Times New Roman" w:eastAsia="Calibri" w:hAnsi="Times New Roman" w:cs="Times New Roman"/>
          <w:sz w:val="28"/>
          <w:szCs w:val="28"/>
        </w:rPr>
        <w:t>-19 [220].</w:t>
      </w:r>
    </w:p>
    <w:p w:rsidR="00537DDE" w:rsidRPr="00537DDE" w:rsidRDefault="00537DDE" w:rsidP="00454AF9">
      <w:pPr>
        <w:tabs>
          <w:tab w:val="left" w:pos="993"/>
        </w:tabs>
        <w:autoSpaceDE w:val="0"/>
        <w:autoSpaceDN w:val="0"/>
        <w:adjustRightInd w:val="0"/>
        <w:spacing w:after="0" w:line="360" w:lineRule="auto"/>
        <w:ind w:firstLine="567"/>
        <w:jc w:val="both"/>
        <w:rPr>
          <w:rFonts w:ascii="Times New Roman" w:eastAsia="Calibri" w:hAnsi="Times New Roman" w:cs="Times New Roman"/>
          <w:b/>
          <w:sz w:val="28"/>
          <w:szCs w:val="28"/>
        </w:rPr>
      </w:pPr>
      <w:r w:rsidRPr="00537DDE">
        <w:rPr>
          <w:rFonts w:ascii="Times New Roman" w:eastAsia="Calibri" w:hAnsi="Times New Roman" w:cs="Times New Roman"/>
          <w:b/>
          <w:sz w:val="28"/>
          <w:szCs w:val="28"/>
        </w:rPr>
        <w:t>Резюме.</w:t>
      </w:r>
    </w:p>
    <w:p w:rsidR="00537DDE" w:rsidRDefault="00537DDE" w:rsidP="00454AF9">
      <w:pPr>
        <w:tabs>
          <w:tab w:val="left" w:pos="993"/>
        </w:tabs>
        <w:autoSpaceDE w:val="0"/>
        <w:autoSpaceDN w:val="0"/>
        <w:adjustRightInd w:val="0"/>
        <w:spacing w:after="0" w:line="360" w:lineRule="auto"/>
        <w:ind w:firstLine="567"/>
        <w:jc w:val="both"/>
        <w:rPr>
          <w:rFonts w:ascii="Times New Roman" w:eastAsia="Calibri" w:hAnsi="Times New Roman" w:cs="Times New Roman"/>
          <w:sz w:val="28"/>
          <w:szCs w:val="28"/>
        </w:rPr>
      </w:pPr>
      <w:r w:rsidRPr="00537DDE">
        <w:rPr>
          <w:rFonts w:ascii="Times New Roman" w:eastAsia="Calibri" w:hAnsi="Times New Roman" w:cs="Times New Roman"/>
          <w:sz w:val="28"/>
          <w:szCs w:val="28"/>
        </w:rPr>
        <w:t>Исходя из вышесказанного, следует, что исследования по коронавирусной инфекции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во всем мире ведутся в быстром режиме, ввиду ее </w:t>
      </w:r>
      <w:r w:rsidRPr="00537DDE">
        <w:rPr>
          <w:rFonts w:ascii="Times New Roman" w:eastAsia="Calibri" w:hAnsi="Times New Roman" w:cs="Times New Roman"/>
          <w:sz w:val="28"/>
          <w:szCs w:val="28"/>
        </w:rPr>
        <w:lastRenderedPageBreak/>
        <w:t xml:space="preserve">социально-экономической значимости. Однако, мало информации об особенностях патогенетических и иммунологических механизмах развития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в условиях низко-, средне- и высокогорья. Клинические проявления и интенсивность обострения хронических патологий при гипоксической гипоксии так же остаются малоизученными. В литературных данных слаба отображена роль продуктов ПОЛ в создании и/или поддержании патологических состояний, влияние на терапию и влияние терапии на ПОЛ при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Важным вопросом остается дефицит/профицит </w:t>
      </w:r>
      <w:r w:rsidRPr="00537DDE">
        <w:rPr>
          <w:rFonts w:ascii="Times New Roman" w:eastAsia="Calibri" w:hAnsi="Times New Roman" w:cs="Times New Roman"/>
          <w:sz w:val="28"/>
          <w:szCs w:val="28"/>
          <w:lang w:val="en-US"/>
        </w:rPr>
        <w:t>ACE</w:t>
      </w:r>
      <w:r w:rsidRPr="00537DDE">
        <w:rPr>
          <w:rFonts w:ascii="Times New Roman" w:eastAsia="Calibri" w:hAnsi="Times New Roman" w:cs="Times New Roman"/>
          <w:sz w:val="28"/>
          <w:szCs w:val="28"/>
        </w:rPr>
        <w:t xml:space="preserve">2 в условиях высокогорного климата. Крайне мало исследований относительно влияния гипоксической гипоксии на скорость развития и тяжесть течения ОРДС при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Особенности терапии хронических патологий, свойственным жителям высокогорного региона, при </w:t>
      </w:r>
      <w:r w:rsidRPr="00537DDE">
        <w:rPr>
          <w:rFonts w:ascii="Times New Roman" w:eastAsia="Calibri" w:hAnsi="Times New Roman" w:cs="Times New Roman"/>
          <w:sz w:val="28"/>
          <w:szCs w:val="28"/>
          <w:lang w:val="en-US"/>
        </w:rPr>
        <w:t>COVID</w:t>
      </w:r>
      <w:r w:rsidRPr="00537DDE">
        <w:rPr>
          <w:rFonts w:ascii="Times New Roman" w:eastAsia="Calibri" w:hAnsi="Times New Roman" w:cs="Times New Roman"/>
          <w:sz w:val="28"/>
          <w:szCs w:val="28"/>
        </w:rPr>
        <w:t xml:space="preserve">-19 так же остаются неточными. </w:t>
      </w:r>
    </w:p>
    <w:p w:rsidR="00537DDE" w:rsidRDefault="00537DDE"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537DDE" w:rsidRDefault="00537DDE"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537DDE" w:rsidRDefault="00537DDE"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537DDE" w:rsidRDefault="00537DDE"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537DDE" w:rsidRDefault="00537DDE"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ind w:firstLine="851"/>
        <w:jc w:val="both"/>
        <w:rPr>
          <w:rFonts w:ascii="Times New Roman" w:eastAsia="Calibri" w:hAnsi="Times New Roman" w:cs="Times New Roman"/>
          <w:sz w:val="28"/>
          <w:szCs w:val="28"/>
        </w:rPr>
      </w:pPr>
    </w:p>
    <w:p w:rsidR="00537DDE" w:rsidRPr="00454AF9" w:rsidRDefault="00537DDE" w:rsidP="00537DDE">
      <w:pPr>
        <w:spacing w:after="0" w:line="360" w:lineRule="auto"/>
        <w:jc w:val="center"/>
        <w:rPr>
          <w:rFonts w:ascii="Times New Roman" w:eastAsia="Calibri" w:hAnsi="Times New Roman" w:cs="Times New Roman"/>
          <w:b/>
          <w:sz w:val="32"/>
        </w:rPr>
      </w:pPr>
      <w:r w:rsidRPr="00454AF9">
        <w:rPr>
          <w:rFonts w:ascii="Times New Roman" w:eastAsia="Calibri" w:hAnsi="Times New Roman" w:cs="Times New Roman"/>
          <w:b/>
          <w:sz w:val="32"/>
        </w:rPr>
        <w:lastRenderedPageBreak/>
        <w:t>ГЛАВА 2.</w:t>
      </w:r>
    </w:p>
    <w:p w:rsidR="00454AF9" w:rsidRPr="00454AF9" w:rsidRDefault="00454AF9" w:rsidP="00537DDE">
      <w:pPr>
        <w:spacing w:after="0" w:line="360" w:lineRule="auto"/>
        <w:jc w:val="center"/>
        <w:rPr>
          <w:rFonts w:ascii="Times New Roman" w:eastAsia="Calibri" w:hAnsi="Times New Roman" w:cs="Times New Roman"/>
          <w:b/>
          <w:sz w:val="32"/>
        </w:rPr>
      </w:pPr>
    </w:p>
    <w:p w:rsidR="00537DDE" w:rsidRPr="00454AF9" w:rsidRDefault="00537DDE" w:rsidP="00537DDE">
      <w:pPr>
        <w:spacing w:after="0" w:line="360" w:lineRule="auto"/>
        <w:jc w:val="center"/>
        <w:rPr>
          <w:rFonts w:ascii="Times New Roman" w:eastAsia="Calibri" w:hAnsi="Times New Roman" w:cs="Times New Roman"/>
          <w:b/>
          <w:sz w:val="32"/>
        </w:rPr>
      </w:pPr>
      <w:r w:rsidRPr="00454AF9">
        <w:rPr>
          <w:rFonts w:ascii="Times New Roman" w:eastAsia="Calibri" w:hAnsi="Times New Roman" w:cs="Times New Roman"/>
          <w:b/>
          <w:sz w:val="32"/>
        </w:rPr>
        <w:t>МАТЕРИАЛЫ И МЕТОДЫ ИССЛЕДОВАНИЯ</w:t>
      </w:r>
    </w:p>
    <w:p w:rsidR="00454AF9" w:rsidRDefault="00454AF9" w:rsidP="00537DDE">
      <w:pPr>
        <w:spacing w:after="0" w:line="360" w:lineRule="auto"/>
        <w:jc w:val="center"/>
        <w:rPr>
          <w:rFonts w:ascii="Times New Roman" w:eastAsia="Calibri" w:hAnsi="Times New Roman" w:cs="Times New Roman"/>
          <w:b/>
          <w:sz w:val="28"/>
        </w:rPr>
      </w:pPr>
    </w:p>
    <w:p w:rsidR="00454AF9" w:rsidRPr="00537DDE" w:rsidRDefault="00454AF9" w:rsidP="00537DDE">
      <w:pPr>
        <w:spacing w:after="0" w:line="360" w:lineRule="auto"/>
        <w:jc w:val="center"/>
        <w:rPr>
          <w:rFonts w:ascii="Times New Roman" w:eastAsia="Calibri" w:hAnsi="Times New Roman" w:cs="Times New Roman"/>
          <w:b/>
          <w:sz w:val="28"/>
        </w:rPr>
      </w:pPr>
    </w:p>
    <w:p w:rsidR="00537DDE" w:rsidRPr="00537DDE" w:rsidRDefault="00537DDE" w:rsidP="00454AF9">
      <w:pPr>
        <w:spacing w:after="0" w:line="360" w:lineRule="auto"/>
        <w:ind w:firstLine="567"/>
        <w:jc w:val="both"/>
        <w:rPr>
          <w:rFonts w:ascii="Times New Roman" w:eastAsia="Calibri" w:hAnsi="Times New Roman" w:cs="Times New Roman"/>
          <w:b/>
          <w:sz w:val="28"/>
        </w:rPr>
      </w:pPr>
      <w:r w:rsidRPr="00537DDE">
        <w:rPr>
          <w:rFonts w:ascii="Times New Roman" w:eastAsia="Calibri" w:hAnsi="Times New Roman" w:cs="Times New Roman"/>
          <w:b/>
          <w:sz w:val="28"/>
        </w:rPr>
        <w:t>2.1. Материалы исследования</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Исследование проводилось за период март 2020 года по декабрь 2021 года на клинических базах в горных условиях: низкогорье – г.Бишкек на базе Республиканской клинической инфекционной больницы (800 метров над уровнем моря); среднегорье – г.Каракол, Иссык-Кульской областной объединенной больницы (1690-1890 сетров над уровнем моря); высокогорье – г.Нарын и Ат-Башинский район Нарынской области на базе Ат-Башинской территориальной больницы и Нарынской областной объединенной больницы (2500-3000 метров над уровнем моря).</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Исследование проходило в 2 этапа. На первом этапе – обследование пациентов с </w:t>
      </w:r>
      <w:r w:rsidRPr="00537DDE">
        <w:rPr>
          <w:rFonts w:ascii="Times New Roman" w:eastAsia="Calibri" w:hAnsi="Times New Roman" w:cs="Times New Roman"/>
          <w:sz w:val="28"/>
          <w:lang w:val="en-US"/>
        </w:rPr>
        <w:t>COVID</w:t>
      </w:r>
      <w:r w:rsidRPr="00537DDE">
        <w:rPr>
          <w:rFonts w:ascii="Times New Roman" w:eastAsia="Calibri" w:hAnsi="Times New Roman" w:cs="Times New Roman"/>
          <w:sz w:val="28"/>
        </w:rPr>
        <w:t xml:space="preserve">-19 проводилось в период разгара пандемии в развернутых «Красных зонах», а также в центрах семейной медицины за период март – сентябрь 2020г. Второй этап проводили через год после выписки пациентов из стационара для оценки результатов лечения и реабилитации. Данный этап организовывался из оповещения и вызова пациентов для повторного обследования. Под наблюдением находилось 600 пациентов с подтвержденным диагнозом коронавирусная инфекция вызванная </w:t>
      </w:r>
      <w:r w:rsidRPr="00537DDE">
        <w:rPr>
          <w:rFonts w:ascii="Times New Roman" w:eastAsia="Calibri" w:hAnsi="Times New Roman" w:cs="Times New Roman"/>
          <w:sz w:val="28"/>
          <w:lang w:val="en-US"/>
        </w:rPr>
        <w:t>Sars</w:t>
      </w:r>
      <w:r w:rsidRPr="00537DDE">
        <w:rPr>
          <w:rFonts w:ascii="Times New Roman" w:eastAsia="Calibri" w:hAnsi="Times New Roman" w:cs="Times New Roman"/>
          <w:sz w:val="28"/>
        </w:rPr>
        <w:t>-</w:t>
      </w:r>
      <w:r w:rsidRPr="00537DDE">
        <w:rPr>
          <w:rFonts w:ascii="Times New Roman" w:eastAsia="Calibri" w:hAnsi="Times New Roman" w:cs="Times New Roman"/>
          <w:sz w:val="28"/>
          <w:lang w:val="en-US"/>
        </w:rPr>
        <w:t>CoV</w:t>
      </w:r>
      <w:r w:rsidRPr="00537DDE">
        <w:rPr>
          <w:rFonts w:ascii="Times New Roman" w:eastAsia="Calibri" w:hAnsi="Times New Roman" w:cs="Times New Roman"/>
          <w:sz w:val="28"/>
        </w:rPr>
        <w:t xml:space="preserve">-2. Для объективного анализа результатов исследования, в каждой зоне проживания обследовались по 200 пациентов. В зависимости от тяжести состояния все пациенты были разделены на легкую, среднюю и тяжелую форму </w:t>
      </w:r>
      <w:r w:rsidRPr="00537DDE">
        <w:rPr>
          <w:rFonts w:ascii="Times New Roman" w:eastAsia="Calibri" w:hAnsi="Times New Roman" w:cs="Times New Roman"/>
          <w:sz w:val="28"/>
          <w:lang w:val="en-US"/>
        </w:rPr>
        <w:t>COVID</w:t>
      </w:r>
      <w:r w:rsidRPr="00537DDE">
        <w:rPr>
          <w:rFonts w:ascii="Times New Roman" w:eastAsia="Calibri" w:hAnsi="Times New Roman" w:cs="Times New Roman"/>
          <w:sz w:val="28"/>
        </w:rPr>
        <w:t>-19.</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Критерии тяжести заболевания основывались на основании временных методологических рекомендаций «Профилактика, диагностика и лечение коронавирусной инфекции </w:t>
      </w:r>
      <w:r w:rsidRPr="00537DDE">
        <w:rPr>
          <w:rFonts w:ascii="Times New Roman" w:eastAsia="Calibri" w:hAnsi="Times New Roman" w:cs="Times New Roman"/>
          <w:sz w:val="28"/>
          <w:lang w:val="en-US"/>
        </w:rPr>
        <w:t>COVID</w:t>
      </w:r>
      <w:r w:rsidRPr="00537DDE">
        <w:rPr>
          <w:rFonts w:ascii="Times New Roman" w:eastAsia="Calibri" w:hAnsi="Times New Roman" w:cs="Times New Roman"/>
          <w:sz w:val="28"/>
        </w:rPr>
        <w:t xml:space="preserve">-19» версия 7 от 03.06.2020 года. Оценка производилась по 4 основным признакам: температура тела (ТТ), частота </w:t>
      </w:r>
      <w:r w:rsidRPr="00537DDE">
        <w:rPr>
          <w:rFonts w:ascii="Times New Roman" w:eastAsia="Calibri" w:hAnsi="Times New Roman" w:cs="Times New Roman"/>
          <w:sz w:val="28"/>
        </w:rPr>
        <w:lastRenderedPageBreak/>
        <w:t>дыхательных движений (ЧДД), сатурация крови (</w:t>
      </w:r>
      <w:r w:rsidRPr="00537DDE">
        <w:rPr>
          <w:rFonts w:ascii="Times New Roman" w:eastAsia="Calibri" w:hAnsi="Times New Roman" w:cs="Times New Roman"/>
          <w:sz w:val="28"/>
          <w:lang w:val="en-US"/>
        </w:rPr>
        <w:t>SpO</w:t>
      </w:r>
      <w:r w:rsidRPr="00537DDE">
        <w:rPr>
          <w:rFonts w:ascii="Times New Roman" w:eastAsia="Calibri" w:hAnsi="Times New Roman" w:cs="Times New Roman"/>
          <w:sz w:val="28"/>
          <w:vertAlign w:val="subscript"/>
        </w:rPr>
        <w:t>2</w:t>
      </w:r>
      <w:r w:rsidRPr="00537DDE">
        <w:rPr>
          <w:rFonts w:ascii="Times New Roman" w:eastAsia="Calibri" w:hAnsi="Times New Roman" w:cs="Times New Roman"/>
          <w:sz w:val="28"/>
        </w:rPr>
        <w:t>), объем поражения легких на рентгенограмме или компьютерной томографии (РГ / КТ).</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При легкой форме тяжести эти показатели составляли:</w:t>
      </w:r>
    </w:p>
    <w:p w:rsidR="00537DDE" w:rsidRPr="00537DDE" w:rsidRDefault="00537DDE" w:rsidP="00FF46DF">
      <w:pPr>
        <w:numPr>
          <w:ilvl w:val="0"/>
          <w:numId w:val="3"/>
        </w:numPr>
        <w:spacing w:after="0" w:line="360" w:lineRule="auto"/>
        <w:ind w:hanging="294"/>
        <w:contextualSpacing/>
        <w:jc w:val="both"/>
        <w:rPr>
          <w:rFonts w:ascii="Times New Roman" w:eastAsia="Calibri" w:hAnsi="Times New Roman" w:cs="Times New Roman"/>
          <w:sz w:val="28"/>
        </w:rPr>
      </w:pPr>
      <w:r w:rsidRPr="00537DDE">
        <w:rPr>
          <w:rFonts w:ascii="Times New Roman" w:eastAsia="Calibri" w:hAnsi="Times New Roman" w:cs="Times New Roman"/>
          <w:sz w:val="28"/>
        </w:rPr>
        <w:t>ТТ ≤ 38°С</w:t>
      </w:r>
    </w:p>
    <w:p w:rsidR="00537DDE" w:rsidRPr="00537DDE" w:rsidRDefault="00537DDE" w:rsidP="00FF46DF">
      <w:pPr>
        <w:numPr>
          <w:ilvl w:val="0"/>
          <w:numId w:val="3"/>
        </w:numPr>
        <w:spacing w:after="0" w:line="360" w:lineRule="auto"/>
        <w:ind w:hanging="294"/>
        <w:contextualSpacing/>
        <w:jc w:val="both"/>
        <w:rPr>
          <w:rFonts w:ascii="Times New Roman" w:eastAsia="Calibri" w:hAnsi="Times New Roman" w:cs="Times New Roman"/>
          <w:sz w:val="28"/>
        </w:rPr>
      </w:pPr>
      <w:r w:rsidRPr="00537DDE">
        <w:rPr>
          <w:rFonts w:ascii="Times New Roman" w:eastAsia="Calibri" w:hAnsi="Times New Roman" w:cs="Times New Roman"/>
          <w:sz w:val="28"/>
        </w:rPr>
        <w:t>ЧДД ≤ 22 /мин</w:t>
      </w:r>
    </w:p>
    <w:p w:rsidR="00537DDE" w:rsidRPr="00537DDE" w:rsidRDefault="00537DDE" w:rsidP="00FF46DF">
      <w:pPr>
        <w:numPr>
          <w:ilvl w:val="0"/>
          <w:numId w:val="3"/>
        </w:numPr>
        <w:spacing w:after="0" w:line="360" w:lineRule="auto"/>
        <w:ind w:hanging="294"/>
        <w:contextualSpacing/>
        <w:jc w:val="both"/>
        <w:rPr>
          <w:rFonts w:ascii="Times New Roman" w:eastAsia="Calibri" w:hAnsi="Times New Roman" w:cs="Times New Roman"/>
          <w:sz w:val="28"/>
        </w:rPr>
      </w:pPr>
      <w:r w:rsidRPr="00537DDE">
        <w:rPr>
          <w:rFonts w:ascii="Times New Roman" w:eastAsia="Calibri" w:hAnsi="Times New Roman" w:cs="Times New Roman"/>
          <w:sz w:val="28"/>
          <w:lang w:val="en-US"/>
        </w:rPr>
        <w:t>SpO</w:t>
      </w:r>
      <w:r w:rsidRPr="00537DDE">
        <w:rPr>
          <w:rFonts w:ascii="Times New Roman" w:eastAsia="Calibri" w:hAnsi="Times New Roman" w:cs="Times New Roman"/>
          <w:sz w:val="28"/>
          <w:vertAlign w:val="subscript"/>
          <w:lang w:val="en-US"/>
        </w:rPr>
        <w:t xml:space="preserve">2 </w:t>
      </w:r>
      <w:r w:rsidRPr="00537DDE">
        <w:rPr>
          <w:rFonts w:ascii="Times New Roman" w:eastAsia="Calibri" w:hAnsi="Times New Roman" w:cs="Times New Roman"/>
          <w:sz w:val="28"/>
          <w:lang w:val="en-US"/>
        </w:rPr>
        <w:t>≥ 95%</w:t>
      </w:r>
    </w:p>
    <w:p w:rsidR="00537DDE" w:rsidRPr="00537DDE" w:rsidRDefault="00537DDE" w:rsidP="00FF46DF">
      <w:pPr>
        <w:numPr>
          <w:ilvl w:val="0"/>
          <w:numId w:val="3"/>
        </w:numPr>
        <w:spacing w:after="0" w:line="360" w:lineRule="auto"/>
        <w:ind w:hanging="294"/>
        <w:contextualSpacing/>
        <w:jc w:val="both"/>
        <w:rPr>
          <w:rFonts w:ascii="Times New Roman" w:eastAsia="Calibri" w:hAnsi="Times New Roman" w:cs="Times New Roman"/>
          <w:sz w:val="28"/>
        </w:rPr>
      </w:pPr>
      <w:r w:rsidRPr="00537DDE">
        <w:rPr>
          <w:rFonts w:ascii="Times New Roman" w:eastAsia="Calibri" w:hAnsi="Times New Roman" w:cs="Times New Roman"/>
          <w:sz w:val="28"/>
        </w:rPr>
        <w:t>РГ/КТ 0-1</w:t>
      </w:r>
    </w:p>
    <w:p w:rsidR="00537DDE" w:rsidRPr="00537DDE" w:rsidRDefault="00537DDE" w:rsidP="00537DDE">
      <w:pPr>
        <w:spacing w:after="0" w:line="360" w:lineRule="auto"/>
        <w:ind w:firstLine="709"/>
        <w:jc w:val="both"/>
        <w:rPr>
          <w:rFonts w:ascii="Times New Roman" w:eastAsia="Calibri" w:hAnsi="Times New Roman" w:cs="Times New Roman"/>
          <w:sz w:val="28"/>
        </w:rPr>
      </w:pPr>
      <w:r w:rsidRPr="00537DDE">
        <w:rPr>
          <w:rFonts w:ascii="Times New Roman" w:eastAsia="Calibri" w:hAnsi="Times New Roman" w:cs="Times New Roman"/>
          <w:sz w:val="28"/>
        </w:rPr>
        <w:t xml:space="preserve">При среднетяжелой форме тяжести: </w:t>
      </w:r>
    </w:p>
    <w:p w:rsidR="00537DDE" w:rsidRPr="00537DDE" w:rsidRDefault="00537DDE" w:rsidP="00FF46DF">
      <w:pPr>
        <w:numPr>
          <w:ilvl w:val="0"/>
          <w:numId w:val="4"/>
        </w:numPr>
        <w:spacing w:after="0" w:line="360" w:lineRule="auto"/>
        <w:ind w:hanging="294"/>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ТТ </w:t>
      </w:r>
      <w:r w:rsidRPr="00537DDE">
        <w:rPr>
          <w:rFonts w:ascii="Times New Roman" w:eastAsia="Calibri" w:hAnsi="Times New Roman" w:cs="Times New Roman"/>
          <w:sz w:val="28"/>
          <w:lang w:val="en-US"/>
        </w:rPr>
        <w:t xml:space="preserve">≥ </w:t>
      </w:r>
      <w:r w:rsidRPr="00537DDE">
        <w:rPr>
          <w:rFonts w:ascii="Times New Roman" w:eastAsia="Calibri" w:hAnsi="Times New Roman" w:cs="Times New Roman"/>
          <w:sz w:val="28"/>
        </w:rPr>
        <w:t>38°С</w:t>
      </w:r>
    </w:p>
    <w:p w:rsidR="00537DDE" w:rsidRPr="00537DDE" w:rsidRDefault="00537DDE" w:rsidP="00FF46DF">
      <w:pPr>
        <w:numPr>
          <w:ilvl w:val="0"/>
          <w:numId w:val="4"/>
        </w:numPr>
        <w:spacing w:after="0" w:line="360" w:lineRule="auto"/>
        <w:ind w:hanging="294"/>
        <w:contextualSpacing/>
        <w:jc w:val="both"/>
        <w:rPr>
          <w:rFonts w:ascii="Times New Roman" w:eastAsia="Calibri" w:hAnsi="Times New Roman" w:cs="Times New Roman"/>
          <w:sz w:val="28"/>
        </w:rPr>
      </w:pPr>
      <w:r w:rsidRPr="00537DDE">
        <w:rPr>
          <w:rFonts w:ascii="Times New Roman" w:eastAsia="Calibri" w:hAnsi="Times New Roman" w:cs="Times New Roman"/>
          <w:sz w:val="28"/>
        </w:rPr>
        <w:t>ЧДД ˃ 22 /мин</w:t>
      </w:r>
    </w:p>
    <w:p w:rsidR="00537DDE" w:rsidRPr="00537DDE" w:rsidRDefault="00537DDE" w:rsidP="00FF46DF">
      <w:pPr>
        <w:numPr>
          <w:ilvl w:val="0"/>
          <w:numId w:val="4"/>
        </w:numPr>
        <w:spacing w:after="0" w:line="360" w:lineRule="auto"/>
        <w:ind w:hanging="294"/>
        <w:contextualSpacing/>
        <w:jc w:val="both"/>
        <w:rPr>
          <w:rFonts w:ascii="Times New Roman" w:eastAsia="Calibri" w:hAnsi="Times New Roman" w:cs="Times New Roman"/>
          <w:sz w:val="28"/>
        </w:rPr>
      </w:pPr>
      <w:r w:rsidRPr="00537DDE">
        <w:rPr>
          <w:rFonts w:ascii="Times New Roman" w:eastAsia="Calibri" w:hAnsi="Times New Roman" w:cs="Times New Roman"/>
          <w:sz w:val="28"/>
          <w:lang w:val="en-US"/>
        </w:rPr>
        <w:t>SpO</w:t>
      </w:r>
      <w:r w:rsidRPr="00537DDE">
        <w:rPr>
          <w:rFonts w:ascii="Times New Roman" w:eastAsia="Calibri" w:hAnsi="Times New Roman" w:cs="Times New Roman"/>
          <w:sz w:val="28"/>
          <w:vertAlign w:val="subscript"/>
          <w:lang w:val="en-US"/>
        </w:rPr>
        <w:t xml:space="preserve">2 </w:t>
      </w:r>
      <w:r w:rsidRPr="00537DDE">
        <w:rPr>
          <w:rFonts w:ascii="Times New Roman" w:eastAsia="Calibri" w:hAnsi="Times New Roman" w:cs="Times New Roman"/>
          <w:sz w:val="28"/>
        </w:rPr>
        <w:t>˂</w:t>
      </w:r>
      <w:r w:rsidRPr="00537DDE">
        <w:rPr>
          <w:rFonts w:ascii="Times New Roman" w:eastAsia="Calibri" w:hAnsi="Times New Roman" w:cs="Times New Roman"/>
          <w:sz w:val="28"/>
          <w:lang w:val="en-US"/>
        </w:rPr>
        <w:t xml:space="preserve"> 95%</w:t>
      </w:r>
    </w:p>
    <w:p w:rsidR="00537DDE" w:rsidRPr="00537DDE" w:rsidRDefault="00537DDE" w:rsidP="00FF46DF">
      <w:pPr>
        <w:numPr>
          <w:ilvl w:val="0"/>
          <w:numId w:val="4"/>
        </w:numPr>
        <w:spacing w:after="0" w:line="360" w:lineRule="auto"/>
        <w:ind w:hanging="294"/>
        <w:contextualSpacing/>
        <w:jc w:val="both"/>
        <w:rPr>
          <w:rFonts w:ascii="Times New Roman" w:eastAsia="Calibri" w:hAnsi="Times New Roman" w:cs="Times New Roman"/>
          <w:sz w:val="28"/>
        </w:rPr>
      </w:pPr>
      <w:r w:rsidRPr="00537DDE">
        <w:rPr>
          <w:rFonts w:ascii="Times New Roman" w:eastAsia="Calibri" w:hAnsi="Times New Roman" w:cs="Times New Roman"/>
          <w:sz w:val="28"/>
        </w:rPr>
        <w:t>РГ/КТ 1 или 2</w:t>
      </w:r>
    </w:p>
    <w:p w:rsidR="00537DDE" w:rsidRPr="00537DDE" w:rsidRDefault="00537DDE" w:rsidP="00537DDE">
      <w:pPr>
        <w:spacing w:after="0" w:line="360" w:lineRule="auto"/>
        <w:ind w:firstLine="709"/>
        <w:jc w:val="both"/>
        <w:rPr>
          <w:rFonts w:ascii="Times New Roman" w:eastAsia="Calibri" w:hAnsi="Times New Roman" w:cs="Times New Roman"/>
          <w:sz w:val="28"/>
        </w:rPr>
      </w:pPr>
      <w:r w:rsidRPr="00537DDE">
        <w:rPr>
          <w:rFonts w:ascii="Times New Roman" w:eastAsia="Calibri" w:hAnsi="Times New Roman" w:cs="Times New Roman"/>
          <w:sz w:val="28"/>
        </w:rPr>
        <w:t xml:space="preserve">При тяжелой форме тяжести: </w:t>
      </w:r>
    </w:p>
    <w:p w:rsidR="00537DDE" w:rsidRPr="00537DDE" w:rsidRDefault="00537DDE" w:rsidP="00FF46DF">
      <w:pPr>
        <w:numPr>
          <w:ilvl w:val="0"/>
          <w:numId w:val="5"/>
        </w:numPr>
        <w:spacing w:after="0" w:line="360" w:lineRule="auto"/>
        <w:ind w:hanging="294"/>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ТТ </w:t>
      </w:r>
      <w:r w:rsidRPr="00537DDE">
        <w:rPr>
          <w:rFonts w:ascii="Times New Roman" w:eastAsia="Calibri" w:hAnsi="Times New Roman" w:cs="Times New Roman"/>
          <w:sz w:val="28"/>
          <w:lang w:val="en-US"/>
        </w:rPr>
        <w:t xml:space="preserve">≥ </w:t>
      </w:r>
      <w:r w:rsidRPr="00537DDE">
        <w:rPr>
          <w:rFonts w:ascii="Times New Roman" w:eastAsia="Calibri" w:hAnsi="Times New Roman" w:cs="Times New Roman"/>
          <w:sz w:val="28"/>
        </w:rPr>
        <w:t>39°С</w:t>
      </w:r>
    </w:p>
    <w:p w:rsidR="00537DDE" w:rsidRPr="00537DDE" w:rsidRDefault="00537DDE" w:rsidP="00FF46DF">
      <w:pPr>
        <w:numPr>
          <w:ilvl w:val="0"/>
          <w:numId w:val="5"/>
        </w:numPr>
        <w:spacing w:after="0" w:line="360" w:lineRule="auto"/>
        <w:ind w:hanging="294"/>
        <w:contextualSpacing/>
        <w:jc w:val="both"/>
        <w:rPr>
          <w:rFonts w:ascii="Times New Roman" w:eastAsia="Calibri" w:hAnsi="Times New Roman" w:cs="Times New Roman"/>
          <w:sz w:val="28"/>
        </w:rPr>
      </w:pPr>
      <w:r w:rsidRPr="00537DDE">
        <w:rPr>
          <w:rFonts w:ascii="Times New Roman" w:eastAsia="Calibri" w:hAnsi="Times New Roman" w:cs="Times New Roman"/>
          <w:sz w:val="28"/>
        </w:rPr>
        <w:t>ЧДД ˃ 30 /мин</w:t>
      </w:r>
    </w:p>
    <w:p w:rsidR="00537DDE" w:rsidRPr="00537DDE" w:rsidRDefault="00537DDE" w:rsidP="00FF46DF">
      <w:pPr>
        <w:numPr>
          <w:ilvl w:val="0"/>
          <w:numId w:val="5"/>
        </w:numPr>
        <w:spacing w:after="0" w:line="360" w:lineRule="auto"/>
        <w:ind w:hanging="294"/>
        <w:contextualSpacing/>
        <w:jc w:val="both"/>
        <w:rPr>
          <w:rFonts w:ascii="Times New Roman" w:eastAsia="Calibri" w:hAnsi="Times New Roman" w:cs="Times New Roman"/>
          <w:sz w:val="28"/>
        </w:rPr>
      </w:pPr>
      <w:r w:rsidRPr="00537DDE">
        <w:rPr>
          <w:rFonts w:ascii="Times New Roman" w:eastAsia="Calibri" w:hAnsi="Times New Roman" w:cs="Times New Roman"/>
          <w:sz w:val="28"/>
          <w:lang w:val="en-US"/>
        </w:rPr>
        <w:t>SpO</w:t>
      </w:r>
      <w:r w:rsidRPr="00537DDE">
        <w:rPr>
          <w:rFonts w:ascii="Times New Roman" w:eastAsia="Calibri" w:hAnsi="Times New Roman" w:cs="Times New Roman"/>
          <w:sz w:val="28"/>
          <w:vertAlign w:val="subscript"/>
          <w:lang w:val="en-US"/>
        </w:rPr>
        <w:t xml:space="preserve">2 </w:t>
      </w:r>
      <w:r w:rsidRPr="00537DDE">
        <w:rPr>
          <w:rFonts w:ascii="Times New Roman" w:eastAsia="Calibri" w:hAnsi="Times New Roman" w:cs="Times New Roman"/>
          <w:sz w:val="28"/>
        </w:rPr>
        <w:t>˂</w:t>
      </w:r>
      <w:r w:rsidRPr="00537DDE">
        <w:rPr>
          <w:rFonts w:ascii="Times New Roman" w:eastAsia="Calibri" w:hAnsi="Times New Roman" w:cs="Times New Roman"/>
          <w:sz w:val="28"/>
          <w:lang w:val="en-US"/>
        </w:rPr>
        <w:t xml:space="preserve"> 93%</w:t>
      </w:r>
    </w:p>
    <w:p w:rsidR="00537DDE" w:rsidRPr="00537DDE" w:rsidRDefault="00537DDE" w:rsidP="00FF46DF">
      <w:pPr>
        <w:numPr>
          <w:ilvl w:val="0"/>
          <w:numId w:val="5"/>
        </w:numPr>
        <w:spacing w:after="0" w:line="360" w:lineRule="auto"/>
        <w:ind w:hanging="294"/>
        <w:contextualSpacing/>
        <w:jc w:val="both"/>
        <w:rPr>
          <w:rFonts w:ascii="Times New Roman" w:eastAsia="Calibri" w:hAnsi="Times New Roman" w:cs="Times New Roman"/>
          <w:sz w:val="28"/>
        </w:rPr>
      </w:pPr>
      <w:r w:rsidRPr="00537DDE">
        <w:rPr>
          <w:rFonts w:ascii="Times New Roman" w:eastAsia="Calibri" w:hAnsi="Times New Roman" w:cs="Times New Roman"/>
          <w:sz w:val="28"/>
        </w:rPr>
        <w:t>РГ/КТ 3 и более</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Дополнительными критериями являлись: при лёгкой форме: кашель малопродуктивный, слабость, отсутствие одышки при привычной физической нагрузке, показатели С-реактивного белка ≤ 10 мг/л. При среднетяжелой форме: показатели СРБ ˃ 10 мг/л. При тяжелом течении: снижение уровня сознания, агония, не стабильная гемодинамика, диурез ˂ 20 мл в час. </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При компьютерной томографии поражение легких в 0 – отсутствие поражения, 1 – до 25%, 2 – 25-50%, 3 – больше 50% площади поражение легких. </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Пациенты были поделены на группы в зависимости от климатического региона:</w:t>
      </w:r>
    </w:p>
    <w:p w:rsidR="00537DDE" w:rsidRPr="00537DDE" w:rsidRDefault="00537DDE" w:rsidP="00537DDE">
      <w:pPr>
        <w:spacing w:after="0" w:line="360" w:lineRule="auto"/>
        <w:ind w:firstLine="709"/>
        <w:jc w:val="both"/>
        <w:rPr>
          <w:rFonts w:ascii="Times New Roman" w:eastAsia="Calibri" w:hAnsi="Times New Roman" w:cs="Times New Roman"/>
          <w:sz w:val="28"/>
        </w:rPr>
      </w:pPr>
      <w:r w:rsidRPr="00537DDE">
        <w:rPr>
          <w:rFonts w:ascii="Times New Roman" w:eastAsia="Calibri" w:hAnsi="Times New Roman" w:cs="Times New Roman"/>
          <w:sz w:val="28"/>
        </w:rPr>
        <w:t>1 – группа 200 пациентов в низкогорных климатических условиях;</w:t>
      </w:r>
    </w:p>
    <w:p w:rsidR="00537DDE" w:rsidRPr="00537DDE" w:rsidRDefault="00537DDE" w:rsidP="00537DDE">
      <w:pPr>
        <w:spacing w:after="0" w:line="360" w:lineRule="auto"/>
        <w:ind w:firstLine="709"/>
        <w:jc w:val="both"/>
        <w:rPr>
          <w:rFonts w:ascii="Times New Roman" w:eastAsia="Calibri" w:hAnsi="Times New Roman" w:cs="Times New Roman"/>
          <w:sz w:val="28"/>
        </w:rPr>
      </w:pPr>
      <w:r w:rsidRPr="00537DDE">
        <w:rPr>
          <w:rFonts w:ascii="Times New Roman" w:eastAsia="Calibri" w:hAnsi="Times New Roman" w:cs="Times New Roman"/>
          <w:sz w:val="28"/>
        </w:rPr>
        <w:t>2 – группа 200 пациентов в среднегорных климатических условиях;</w:t>
      </w:r>
    </w:p>
    <w:p w:rsidR="00537DDE" w:rsidRPr="00537DDE" w:rsidRDefault="00537DDE" w:rsidP="00537DDE">
      <w:pPr>
        <w:spacing w:after="0" w:line="360" w:lineRule="auto"/>
        <w:ind w:firstLine="709"/>
        <w:jc w:val="both"/>
        <w:rPr>
          <w:rFonts w:ascii="Times New Roman" w:eastAsia="Calibri" w:hAnsi="Times New Roman" w:cs="Times New Roman"/>
          <w:sz w:val="28"/>
        </w:rPr>
      </w:pPr>
      <w:r w:rsidRPr="00537DDE">
        <w:rPr>
          <w:rFonts w:ascii="Times New Roman" w:eastAsia="Calibri" w:hAnsi="Times New Roman" w:cs="Times New Roman"/>
          <w:sz w:val="28"/>
        </w:rPr>
        <w:t>3 – группа 200 пациентов в высокогорных климатических условиях.</w:t>
      </w:r>
    </w:p>
    <w:p w:rsidR="00537DDE" w:rsidRPr="00537DDE" w:rsidRDefault="00537DDE" w:rsidP="00537DDE">
      <w:pPr>
        <w:spacing w:after="0" w:line="360" w:lineRule="auto"/>
        <w:ind w:firstLine="709"/>
        <w:jc w:val="both"/>
        <w:rPr>
          <w:rFonts w:ascii="Times New Roman" w:eastAsia="Calibri" w:hAnsi="Times New Roman" w:cs="Times New Roman"/>
          <w:sz w:val="28"/>
        </w:rPr>
      </w:pPr>
      <w:r w:rsidRPr="00537DDE">
        <w:rPr>
          <w:rFonts w:ascii="Times New Roman" w:eastAsia="Calibri" w:hAnsi="Times New Roman" w:cs="Times New Roman"/>
          <w:sz w:val="28"/>
        </w:rPr>
        <w:lastRenderedPageBreak/>
        <w:t xml:space="preserve">Критерии включения из исследования явились:  </w:t>
      </w:r>
    </w:p>
    <w:p w:rsidR="00537DDE" w:rsidRPr="00537DDE" w:rsidRDefault="00537DDE" w:rsidP="00FF46DF">
      <w:pPr>
        <w:numPr>
          <w:ilvl w:val="0"/>
          <w:numId w:val="6"/>
        </w:numPr>
        <w:spacing w:after="0" w:line="360" w:lineRule="auto"/>
        <w:ind w:hanging="436"/>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Возраст </w:t>
      </w:r>
      <w:r w:rsidRPr="00FF46DF">
        <w:rPr>
          <w:rFonts w:ascii="Times New Roman" w:eastAsia="Calibri" w:hAnsi="Times New Roman" w:cs="Times New Roman"/>
          <w:sz w:val="28"/>
        </w:rPr>
        <w:t>от 18 до 55 лет</w:t>
      </w:r>
    </w:p>
    <w:p w:rsidR="00537DDE" w:rsidRPr="00537DDE" w:rsidRDefault="00537DDE" w:rsidP="00FF46DF">
      <w:pPr>
        <w:numPr>
          <w:ilvl w:val="0"/>
          <w:numId w:val="6"/>
        </w:numPr>
        <w:spacing w:after="0" w:line="360" w:lineRule="auto"/>
        <w:ind w:hanging="436"/>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Диагноз: лабораторно-подверженная коронавирусная инфекция вызванная </w:t>
      </w:r>
      <w:r w:rsidRPr="00537DDE">
        <w:rPr>
          <w:rFonts w:ascii="Times New Roman" w:eastAsia="Calibri" w:hAnsi="Times New Roman" w:cs="Times New Roman"/>
          <w:sz w:val="28"/>
          <w:lang w:val="en-US"/>
        </w:rPr>
        <w:t>Sars</w:t>
      </w:r>
      <w:r w:rsidRPr="00537DDE">
        <w:rPr>
          <w:rFonts w:ascii="Times New Roman" w:eastAsia="Calibri" w:hAnsi="Times New Roman" w:cs="Times New Roman"/>
          <w:sz w:val="28"/>
        </w:rPr>
        <w:t>-</w:t>
      </w:r>
      <w:r w:rsidRPr="00537DDE">
        <w:rPr>
          <w:rFonts w:ascii="Times New Roman" w:eastAsia="Calibri" w:hAnsi="Times New Roman" w:cs="Times New Roman"/>
          <w:sz w:val="28"/>
          <w:lang w:val="en-US"/>
        </w:rPr>
        <w:t>CoV</w:t>
      </w:r>
      <w:r w:rsidRPr="00537DDE">
        <w:rPr>
          <w:rFonts w:ascii="Times New Roman" w:eastAsia="Calibri" w:hAnsi="Times New Roman" w:cs="Times New Roman"/>
          <w:sz w:val="28"/>
        </w:rPr>
        <w:t>-2;</w:t>
      </w:r>
    </w:p>
    <w:p w:rsidR="00537DDE" w:rsidRPr="00537DDE" w:rsidRDefault="00537DDE" w:rsidP="00FF46DF">
      <w:pPr>
        <w:numPr>
          <w:ilvl w:val="0"/>
          <w:numId w:val="6"/>
        </w:numPr>
        <w:spacing w:after="0" w:line="360" w:lineRule="auto"/>
        <w:ind w:hanging="436"/>
        <w:contextualSpacing/>
        <w:jc w:val="both"/>
        <w:rPr>
          <w:rFonts w:ascii="Times New Roman" w:eastAsia="Calibri" w:hAnsi="Times New Roman" w:cs="Times New Roman"/>
          <w:sz w:val="28"/>
        </w:rPr>
      </w:pPr>
      <w:r w:rsidRPr="00537DDE">
        <w:rPr>
          <w:rFonts w:ascii="Times New Roman" w:eastAsia="Calibri" w:hAnsi="Times New Roman" w:cs="Times New Roman"/>
          <w:sz w:val="28"/>
        </w:rPr>
        <w:t>Адрес постоянного проживания на указанных выше климатических регионах (Низкогорье - 800—1000 м над уровнем моря; Среднегорье – 1000- 2500 м над уровнем моря; Высокогорье – от 2500 м и выше над уровнем моря.);</w:t>
      </w:r>
    </w:p>
    <w:p w:rsidR="00537DDE" w:rsidRPr="00537DDE" w:rsidRDefault="00537DDE" w:rsidP="00FF46DF">
      <w:pPr>
        <w:numPr>
          <w:ilvl w:val="0"/>
          <w:numId w:val="6"/>
        </w:numPr>
        <w:spacing w:after="0" w:line="360" w:lineRule="auto"/>
        <w:ind w:hanging="436"/>
        <w:contextualSpacing/>
        <w:jc w:val="both"/>
        <w:rPr>
          <w:rFonts w:ascii="Times New Roman" w:eastAsia="Calibri" w:hAnsi="Times New Roman" w:cs="Times New Roman"/>
          <w:sz w:val="28"/>
        </w:rPr>
      </w:pPr>
      <w:r w:rsidRPr="00537DDE">
        <w:rPr>
          <w:rFonts w:ascii="Times New Roman" w:eastAsia="Calibri" w:hAnsi="Times New Roman" w:cs="Times New Roman"/>
          <w:sz w:val="28"/>
        </w:rPr>
        <w:t>Фактическое амбулаторное или стационарное лечение пациента в период проведения исследования;</w:t>
      </w:r>
    </w:p>
    <w:p w:rsidR="00537DDE" w:rsidRPr="00537DDE" w:rsidRDefault="00537DDE" w:rsidP="00FF46DF">
      <w:pPr>
        <w:numPr>
          <w:ilvl w:val="0"/>
          <w:numId w:val="6"/>
        </w:numPr>
        <w:spacing w:after="0" w:line="360" w:lineRule="auto"/>
        <w:ind w:hanging="436"/>
        <w:contextualSpacing/>
        <w:jc w:val="both"/>
        <w:rPr>
          <w:rFonts w:ascii="Times New Roman" w:eastAsia="Calibri" w:hAnsi="Times New Roman" w:cs="Times New Roman"/>
          <w:sz w:val="28"/>
        </w:rPr>
      </w:pPr>
      <w:r w:rsidRPr="00537DDE">
        <w:rPr>
          <w:rFonts w:ascii="Times New Roman" w:eastAsia="Calibri" w:hAnsi="Times New Roman" w:cs="Times New Roman"/>
          <w:sz w:val="28"/>
        </w:rPr>
        <w:t>Добровольное информированное согласие на проведения исследования.</w:t>
      </w:r>
    </w:p>
    <w:p w:rsidR="00537DDE" w:rsidRPr="00537DDE" w:rsidRDefault="00537DDE" w:rsidP="00FF46DF">
      <w:pPr>
        <w:spacing w:after="0" w:line="360" w:lineRule="auto"/>
        <w:ind w:firstLine="709"/>
        <w:jc w:val="both"/>
        <w:rPr>
          <w:rFonts w:ascii="Times New Roman" w:eastAsia="Calibri" w:hAnsi="Times New Roman" w:cs="Times New Roman"/>
          <w:sz w:val="28"/>
        </w:rPr>
      </w:pPr>
      <w:r w:rsidRPr="00537DDE">
        <w:rPr>
          <w:rFonts w:ascii="Times New Roman" w:eastAsia="Calibri" w:hAnsi="Times New Roman" w:cs="Times New Roman"/>
          <w:sz w:val="28"/>
        </w:rPr>
        <w:t>Критериями исключения из исследования:</w:t>
      </w:r>
    </w:p>
    <w:p w:rsidR="00537DDE" w:rsidRPr="00537DDE" w:rsidRDefault="00537DDE" w:rsidP="00FF46DF">
      <w:pPr>
        <w:numPr>
          <w:ilvl w:val="0"/>
          <w:numId w:val="7"/>
        </w:numPr>
        <w:spacing w:after="0" w:line="360" w:lineRule="auto"/>
        <w:ind w:hanging="436"/>
        <w:contextualSpacing/>
        <w:jc w:val="both"/>
        <w:rPr>
          <w:rFonts w:ascii="Times New Roman" w:eastAsia="Calibri" w:hAnsi="Times New Roman" w:cs="Times New Roman"/>
          <w:sz w:val="28"/>
        </w:rPr>
      </w:pPr>
      <w:r w:rsidRPr="00537DDE">
        <w:rPr>
          <w:rFonts w:ascii="Times New Roman" w:eastAsia="Calibri" w:hAnsi="Times New Roman" w:cs="Times New Roman"/>
          <w:sz w:val="28"/>
        </w:rPr>
        <w:t>Отказ от участия в исследовании;</w:t>
      </w:r>
    </w:p>
    <w:p w:rsidR="00537DDE" w:rsidRPr="00537DDE" w:rsidRDefault="00537DDE" w:rsidP="00FF46DF">
      <w:pPr>
        <w:numPr>
          <w:ilvl w:val="0"/>
          <w:numId w:val="7"/>
        </w:numPr>
        <w:spacing w:after="0" w:line="360" w:lineRule="auto"/>
        <w:ind w:hanging="436"/>
        <w:contextualSpacing/>
        <w:jc w:val="both"/>
        <w:rPr>
          <w:rFonts w:ascii="Times New Roman" w:eastAsia="Calibri" w:hAnsi="Times New Roman" w:cs="Times New Roman"/>
          <w:sz w:val="28"/>
        </w:rPr>
      </w:pPr>
      <w:r w:rsidRPr="00537DDE">
        <w:rPr>
          <w:rFonts w:ascii="Times New Roman" w:eastAsia="Calibri" w:hAnsi="Times New Roman" w:cs="Times New Roman"/>
          <w:sz w:val="28"/>
        </w:rPr>
        <w:t>Онкологические заболевания у пациентов;</w:t>
      </w:r>
    </w:p>
    <w:p w:rsidR="00537DDE" w:rsidRPr="00537DDE" w:rsidRDefault="00537DDE" w:rsidP="00FF46DF">
      <w:pPr>
        <w:numPr>
          <w:ilvl w:val="0"/>
          <w:numId w:val="7"/>
        </w:numPr>
        <w:spacing w:after="0" w:line="360" w:lineRule="auto"/>
        <w:ind w:hanging="436"/>
        <w:contextualSpacing/>
        <w:jc w:val="both"/>
        <w:rPr>
          <w:rFonts w:ascii="Times New Roman" w:eastAsia="Calibri" w:hAnsi="Times New Roman" w:cs="Times New Roman"/>
          <w:sz w:val="28"/>
        </w:rPr>
      </w:pPr>
      <w:r w:rsidRPr="00537DDE">
        <w:rPr>
          <w:rFonts w:ascii="Times New Roman" w:eastAsia="Calibri" w:hAnsi="Times New Roman" w:cs="Times New Roman"/>
          <w:sz w:val="28"/>
        </w:rPr>
        <w:t>Беременность и период лактации;</w:t>
      </w:r>
    </w:p>
    <w:p w:rsidR="00537DDE" w:rsidRPr="00537DDE" w:rsidRDefault="00537DDE" w:rsidP="00FF46DF">
      <w:pPr>
        <w:numPr>
          <w:ilvl w:val="0"/>
          <w:numId w:val="7"/>
        </w:numPr>
        <w:spacing w:after="0" w:line="360" w:lineRule="auto"/>
        <w:ind w:hanging="436"/>
        <w:contextualSpacing/>
        <w:jc w:val="both"/>
        <w:rPr>
          <w:rFonts w:ascii="Times New Roman" w:eastAsia="Calibri" w:hAnsi="Times New Roman" w:cs="Times New Roman"/>
          <w:sz w:val="28"/>
        </w:rPr>
      </w:pPr>
      <w:r w:rsidRPr="00537DDE">
        <w:rPr>
          <w:rFonts w:ascii="Times New Roman" w:eastAsia="Calibri" w:hAnsi="Times New Roman" w:cs="Times New Roman"/>
          <w:sz w:val="28"/>
        </w:rPr>
        <w:t>Дети и подростки;</w:t>
      </w:r>
    </w:p>
    <w:p w:rsidR="00537DDE" w:rsidRPr="00537DDE" w:rsidRDefault="00537DDE" w:rsidP="00FF46DF">
      <w:pPr>
        <w:numPr>
          <w:ilvl w:val="0"/>
          <w:numId w:val="7"/>
        </w:numPr>
        <w:spacing w:after="0" w:line="360" w:lineRule="auto"/>
        <w:ind w:hanging="436"/>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Больные ВИЧ-инфекцией и СПИД; </w:t>
      </w:r>
    </w:p>
    <w:p w:rsidR="00537DDE" w:rsidRPr="00537DDE" w:rsidRDefault="00537DDE" w:rsidP="00FF46DF">
      <w:pPr>
        <w:numPr>
          <w:ilvl w:val="0"/>
          <w:numId w:val="7"/>
        </w:numPr>
        <w:spacing w:after="0" w:line="360" w:lineRule="auto"/>
        <w:ind w:hanging="436"/>
        <w:contextualSpacing/>
        <w:jc w:val="both"/>
        <w:rPr>
          <w:rFonts w:ascii="Times New Roman" w:eastAsia="Calibri" w:hAnsi="Times New Roman" w:cs="Times New Roman"/>
          <w:sz w:val="28"/>
        </w:rPr>
      </w:pPr>
      <w:r w:rsidRPr="00537DDE">
        <w:rPr>
          <w:rFonts w:ascii="Times New Roman" w:eastAsia="Calibri" w:hAnsi="Times New Roman" w:cs="Times New Roman"/>
          <w:sz w:val="28"/>
        </w:rPr>
        <w:t>Больные с операциями на легких и органах грудной клетки в анамнезе;</w:t>
      </w:r>
    </w:p>
    <w:p w:rsidR="00537DDE" w:rsidRPr="00537DDE" w:rsidRDefault="00537DDE" w:rsidP="00FF46DF">
      <w:pPr>
        <w:numPr>
          <w:ilvl w:val="0"/>
          <w:numId w:val="7"/>
        </w:numPr>
        <w:spacing w:after="0" w:line="360" w:lineRule="auto"/>
        <w:ind w:hanging="436"/>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Больные с ревматическими заболеваниями аутоиммуного генеза; </w:t>
      </w:r>
    </w:p>
    <w:p w:rsidR="00537DDE" w:rsidRPr="00537DDE" w:rsidRDefault="00537DDE" w:rsidP="00FF46DF">
      <w:pPr>
        <w:numPr>
          <w:ilvl w:val="0"/>
          <w:numId w:val="7"/>
        </w:numPr>
        <w:spacing w:after="0" w:line="360" w:lineRule="auto"/>
        <w:ind w:hanging="436"/>
        <w:contextualSpacing/>
        <w:jc w:val="both"/>
        <w:rPr>
          <w:rFonts w:ascii="Times New Roman" w:eastAsia="Calibri" w:hAnsi="Times New Roman" w:cs="Times New Roman"/>
          <w:sz w:val="28"/>
        </w:rPr>
      </w:pPr>
      <w:r w:rsidRPr="00537DDE">
        <w:rPr>
          <w:rFonts w:ascii="Times New Roman" w:eastAsia="Calibri" w:hAnsi="Times New Roman" w:cs="Times New Roman"/>
          <w:sz w:val="28"/>
        </w:rPr>
        <w:t>Старческий возраст (75 и выше);</w:t>
      </w:r>
    </w:p>
    <w:p w:rsidR="00537DDE" w:rsidRPr="00537DDE" w:rsidRDefault="00537DDE" w:rsidP="00FF46DF">
      <w:pPr>
        <w:numPr>
          <w:ilvl w:val="0"/>
          <w:numId w:val="7"/>
        </w:numPr>
        <w:spacing w:after="0" w:line="360" w:lineRule="auto"/>
        <w:ind w:hanging="436"/>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Заболевания требующие постоянного приема препаратов угнетающих иммунную и интерлейкиновую системы человека; </w:t>
      </w:r>
    </w:p>
    <w:p w:rsidR="00537DDE" w:rsidRPr="00537DDE" w:rsidRDefault="00537DDE" w:rsidP="00FF46DF">
      <w:pPr>
        <w:numPr>
          <w:ilvl w:val="0"/>
          <w:numId w:val="7"/>
        </w:numPr>
        <w:spacing w:after="0" w:line="360" w:lineRule="auto"/>
        <w:ind w:hanging="578"/>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 Больные с хроническими формами парентеральных гепатитов. </w:t>
      </w:r>
    </w:p>
    <w:p w:rsidR="00454AF9" w:rsidRDefault="00454AF9" w:rsidP="00537DDE">
      <w:pPr>
        <w:spacing w:after="0" w:line="360" w:lineRule="auto"/>
        <w:ind w:firstLine="709"/>
        <w:jc w:val="both"/>
        <w:rPr>
          <w:rFonts w:ascii="Times New Roman" w:eastAsia="Calibri" w:hAnsi="Times New Roman" w:cs="Times New Roman"/>
          <w:b/>
          <w:sz w:val="28"/>
        </w:rPr>
      </w:pPr>
    </w:p>
    <w:p w:rsidR="00537DDE" w:rsidRPr="00537DDE" w:rsidRDefault="00537DDE" w:rsidP="00454AF9">
      <w:pPr>
        <w:spacing w:after="0" w:line="360" w:lineRule="auto"/>
        <w:ind w:firstLine="567"/>
        <w:jc w:val="both"/>
        <w:rPr>
          <w:rFonts w:ascii="Times New Roman" w:eastAsia="Calibri" w:hAnsi="Times New Roman" w:cs="Times New Roman"/>
          <w:b/>
          <w:sz w:val="28"/>
        </w:rPr>
      </w:pPr>
      <w:r w:rsidRPr="00537DDE">
        <w:rPr>
          <w:rFonts w:ascii="Times New Roman" w:eastAsia="Calibri" w:hAnsi="Times New Roman" w:cs="Times New Roman"/>
          <w:b/>
          <w:sz w:val="28"/>
        </w:rPr>
        <w:t xml:space="preserve">2.2. Методы исследования </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Объектом исследования стал больной с диагнозом «Лабораторно подтвержденная короновирусная инфекция вызванная </w:t>
      </w:r>
      <w:r w:rsidRPr="00537DDE">
        <w:rPr>
          <w:rFonts w:ascii="Times New Roman" w:eastAsia="Calibri" w:hAnsi="Times New Roman" w:cs="Times New Roman"/>
          <w:sz w:val="28"/>
          <w:lang w:val="en-US"/>
        </w:rPr>
        <w:t>Sars</w:t>
      </w:r>
      <w:r w:rsidRPr="00537DDE">
        <w:rPr>
          <w:rFonts w:ascii="Times New Roman" w:eastAsia="Calibri" w:hAnsi="Times New Roman" w:cs="Times New Roman"/>
          <w:sz w:val="28"/>
        </w:rPr>
        <w:t>-</w:t>
      </w:r>
      <w:r w:rsidRPr="00537DDE">
        <w:rPr>
          <w:rFonts w:ascii="Times New Roman" w:eastAsia="Calibri" w:hAnsi="Times New Roman" w:cs="Times New Roman"/>
          <w:sz w:val="28"/>
          <w:lang w:val="en-US"/>
        </w:rPr>
        <w:t>Cov</w:t>
      </w:r>
      <w:r w:rsidRPr="00537DDE">
        <w:rPr>
          <w:rFonts w:ascii="Times New Roman" w:eastAsia="Calibri" w:hAnsi="Times New Roman" w:cs="Times New Roman"/>
          <w:sz w:val="28"/>
        </w:rPr>
        <w:t>-2».</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Предметами исследований выступили:</w:t>
      </w:r>
    </w:p>
    <w:p w:rsidR="00537DDE" w:rsidRPr="00537DDE" w:rsidRDefault="00537DDE" w:rsidP="00454AF9">
      <w:pPr>
        <w:numPr>
          <w:ilvl w:val="0"/>
          <w:numId w:val="8"/>
        </w:numPr>
        <w:tabs>
          <w:tab w:val="left" w:pos="993"/>
        </w:tabs>
        <w:spacing w:after="0" w:line="360" w:lineRule="auto"/>
        <w:ind w:left="567" w:firstLine="0"/>
        <w:contextualSpacing/>
        <w:jc w:val="both"/>
        <w:rPr>
          <w:rFonts w:ascii="Times New Roman" w:eastAsia="Calibri" w:hAnsi="Times New Roman" w:cs="Times New Roman"/>
          <w:sz w:val="28"/>
        </w:rPr>
      </w:pPr>
      <w:r w:rsidRPr="00537DDE">
        <w:rPr>
          <w:rFonts w:ascii="Times New Roman" w:eastAsia="Calibri" w:hAnsi="Times New Roman" w:cs="Times New Roman"/>
          <w:sz w:val="28"/>
        </w:rPr>
        <w:t>Клинические показатели в разных климатических регионах;</w:t>
      </w:r>
    </w:p>
    <w:p w:rsidR="00537DDE" w:rsidRPr="00537DDE" w:rsidRDefault="00537DDE" w:rsidP="00454AF9">
      <w:pPr>
        <w:numPr>
          <w:ilvl w:val="0"/>
          <w:numId w:val="8"/>
        </w:numPr>
        <w:tabs>
          <w:tab w:val="left" w:pos="993"/>
        </w:tabs>
        <w:spacing w:after="0" w:line="360" w:lineRule="auto"/>
        <w:ind w:left="567" w:firstLine="0"/>
        <w:contextualSpacing/>
        <w:jc w:val="both"/>
        <w:rPr>
          <w:rFonts w:ascii="Times New Roman" w:eastAsia="Calibri" w:hAnsi="Times New Roman" w:cs="Times New Roman"/>
          <w:sz w:val="28"/>
        </w:rPr>
      </w:pPr>
      <w:r w:rsidRPr="00537DDE">
        <w:rPr>
          <w:rFonts w:ascii="Times New Roman" w:eastAsia="Calibri" w:hAnsi="Times New Roman" w:cs="Times New Roman"/>
          <w:sz w:val="28"/>
        </w:rPr>
        <w:lastRenderedPageBreak/>
        <w:t>Общие лабораторные показатели крови пациентов (Общий анализ крови, общий анализ мочи, Биохимический анализ крови);</w:t>
      </w:r>
    </w:p>
    <w:p w:rsidR="00537DDE" w:rsidRPr="00537DDE" w:rsidRDefault="00537DDE" w:rsidP="00454AF9">
      <w:pPr>
        <w:numPr>
          <w:ilvl w:val="0"/>
          <w:numId w:val="8"/>
        </w:numPr>
        <w:tabs>
          <w:tab w:val="left" w:pos="993"/>
        </w:tabs>
        <w:spacing w:after="0" w:line="360" w:lineRule="auto"/>
        <w:ind w:left="567" w:firstLine="0"/>
        <w:contextualSpacing/>
        <w:jc w:val="both"/>
        <w:rPr>
          <w:rFonts w:ascii="Times New Roman" w:eastAsia="Calibri" w:hAnsi="Times New Roman" w:cs="Times New Roman"/>
          <w:sz w:val="28"/>
        </w:rPr>
      </w:pPr>
      <w:r w:rsidRPr="00537DDE">
        <w:rPr>
          <w:rFonts w:ascii="Times New Roman" w:eastAsia="Calibri" w:hAnsi="Times New Roman" w:cs="Times New Roman"/>
          <w:sz w:val="28"/>
        </w:rPr>
        <w:t>Состояние коагуляционной системы пациентов;</w:t>
      </w:r>
    </w:p>
    <w:p w:rsidR="00537DDE" w:rsidRPr="00537DDE" w:rsidRDefault="00537DDE" w:rsidP="00454AF9">
      <w:pPr>
        <w:numPr>
          <w:ilvl w:val="0"/>
          <w:numId w:val="8"/>
        </w:numPr>
        <w:tabs>
          <w:tab w:val="left" w:pos="993"/>
        </w:tabs>
        <w:spacing w:after="0" w:line="360" w:lineRule="auto"/>
        <w:ind w:left="567" w:firstLine="0"/>
        <w:contextualSpacing/>
        <w:jc w:val="both"/>
        <w:rPr>
          <w:rFonts w:ascii="Times New Roman" w:eastAsia="Calibri" w:hAnsi="Times New Roman" w:cs="Times New Roman"/>
          <w:sz w:val="28"/>
        </w:rPr>
      </w:pPr>
      <w:r w:rsidRPr="00537DDE">
        <w:rPr>
          <w:rFonts w:ascii="Times New Roman" w:eastAsia="Calibri" w:hAnsi="Times New Roman" w:cs="Times New Roman"/>
          <w:sz w:val="28"/>
        </w:rPr>
        <w:t>Показатели антителообразования в динамике;</w:t>
      </w:r>
    </w:p>
    <w:p w:rsidR="00537DDE" w:rsidRPr="00537DDE" w:rsidRDefault="00537DDE" w:rsidP="00454AF9">
      <w:pPr>
        <w:numPr>
          <w:ilvl w:val="0"/>
          <w:numId w:val="8"/>
        </w:numPr>
        <w:tabs>
          <w:tab w:val="left" w:pos="993"/>
        </w:tabs>
        <w:spacing w:after="0" w:line="360" w:lineRule="auto"/>
        <w:ind w:left="567" w:firstLine="0"/>
        <w:contextualSpacing/>
        <w:jc w:val="both"/>
        <w:rPr>
          <w:rFonts w:ascii="Times New Roman" w:eastAsia="Calibri" w:hAnsi="Times New Roman" w:cs="Times New Roman"/>
          <w:sz w:val="28"/>
        </w:rPr>
      </w:pPr>
      <w:r w:rsidRPr="00537DDE">
        <w:rPr>
          <w:rFonts w:ascii="Times New Roman" w:eastAsia="Calibri" w:hAnsi="Times New Roman" w:cs="Times New Roman"/>
          <w:sz w:val="28"/>
        </w:rPr>
        <w:t>Интерлейкиновый статус пациентов;</w:t>
      </w:r>
    </w:p>
    <w:p w:rsidR="00537DDE" w:rsidRPr="00537DDE" w:rsidRDefault="00537DDE" w:rsidP="00454AF9">
      <w:pPr>
        <w:numPr>
          <w:ilvl w:val="0"/>
          <w:numId w:val="8"/>
        </w:numPr>
        <w:tabs>
          <w:tab w:val="left" w:pos="993"/>
        </w:tabs>
        <w:spacing w:after="0" w:line="360" w:lineRule="auto"/>
        <w:ind w:left="567" w:firstLine="0"/>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Состояние оксидантной системы больных </w:t>
      </w:r>
      <w:r w:rsidRPr="00537DDE">
        <w:rPr>
          <w:rFonts w:ascii="Times New Roman" w:eastAsia="Calibri" w:hAnsi="Times New Roman" w:cs="Times New Roman"/>
          <w:sz w:val="28"/>
          <w:lang w:val="en-US"/>
        </w:rPr>
        <w:t>COVID</w:t>
      </w:r>
      <w:r w:rsidRPr="00537DDE">
        <w:rPr>
          <w:rFonts w:ascii="Times New Roman" w:eastAsia="Calibri" w:hAnsi="Times New Roman" w:cs="Times New Roman"/>
          <w:sz w:val="28"/>
        </w:rPr>
        <w:t>-19;</w:t>
      </w:r>
    </w:p>
    <w:p w:rsidR="00537DDE" w:rsidRPr="00537DDE" w:rsidRDefault="00537DDE" w:rsidP="00454AF9">
      <w:pPr>
        <w:numPr>
          <w:ilvl w:val="0"/>
          <w:numId w:val="8"/>
        </w:numPr>
        <w:tabs>
          <w:tab w:val="left" w:pos="993"/>
        </w:tabs>
        <w:spacing w:after="0" w:line="360" w:lineRule="auto"/>
        <w:ind w:left="567" w:firstLine="0"/>
        <w:contextualSpacing/>
        <w:jc w:val="both"/>
        <w:rPr>
          <w:rFonts w:ascii="Times New Roman" w:eastAsia="Calibri" w:hAnsi="Times New Roman" w:cs="Times New Roman"/>
          <w:sz w:val="28"/>
        </w:rPr>
      </w:pPr>
      <w:r w:rsidRPr="00537DDE">
        <w:rPr>
          <w:rFonts w:ascii="Times New Roman" w:eastAsia="Calibri" w:hAnsi="Times New Roman" w:cs="Times New Roman"/>
          <w:sz w:val="28"/>
        </w:rPr>
        <w:t>Показатели эффективности оказанной терапии;</w:t>
      </w:r>
    </w:p>
    <w:p w:rsidR="00537DDE" w:rsidRPr="00537DDE" w:rsidRDefault="00537DDE" w:rsidP="00454AF9">
      <w:pPr>
        <w:numPr>
          <w:ilvl w:val="0"/>
          <w:numId w:val="8"/>
        </w:numPr>
        <w:tabs>
          <w:tab w:val="left" w:pos="993"/>
        </w:tabs>
        <w:spacing w:after="0" w:line="360" w:lineRule="auto"/>
        <w:ind w:left="567" w:firstLine="0"/>
        <w:contextualSpacing/>
        <w:jc w:val="both"/>
        <w:rPr>
          <w:rFonts w:ascii="Times New Roman" w:eastAsia="Calibri" w:hAnsi="Times New Roman" w:cs="Times New Roman"/>
          <w:sz w:val="28"/>
        </w:rPr>
      </w:pPr>
      <w:r w:rsidRPr="00537DDE">
        <w:rPr>
          <w:rFonts w:ascii="Times New Roman" w:eastAsia="Calibri" w:hAnsi="Times New Roman" w:cs="Times New Roman"/>
          <w:sz w:val="28"/>
        </w:rPr>
        <w:t>Показатели интерлейкинового статуса и оксидантной системы в период полной реконвалесценции.</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В целях формирования переменных значений у исследуемых групп, было принято решение формирование следующих блоков показателей, согласно Приказу МЗ КР №173 от 20.03.2020 «Временное клиническое руководство по диагностике и лечению коронавирусной инфекции COVID-19»; Приказу №219 МЗ КР от 05.04.2020 «Об внесении дополнений во временное клиническое руководство по диагностике и лечению корона вирусной инфекции в Кыргызской Республике»; Приказу №16 МЗ КР от 13.01.20202 «Клиническое руководство по диагностике и лечению коронавирусной инфекции» и  «Методические рекомендации по кодированию и выбору основного состояния в статистике заболеваемости и первоначальной причины в статистике смертности, связанных с COVID-19» (Версия 1 от 27.05.2020) МЗ РФ:</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1 – блок клинические данные. В данный блок переменных включались показатели клинических признаков COVID-19;</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2 – блок общелабораторных переменных. В данный блок включались общелабораторные переменные в роли показателей состояния организма в период заболевания в разных климатических регионах;</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3 – блок коагуляционной системы крови. В данный блок включены все переменные характеризующие свертывающую систему крови, в фазах активации, коагуляции, ретракции, а так же показатель канализации тромбов;  </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4 – блок инструментальных исследований. Переменные полученные в результате рентгенологических методов исследования, ЭКГ, КТ и УЗИ </w:t>
      </w:r>
      <w:r w:rsidRPr="00537DDE">
        <w:rPr>
          <w:rFonts w:ascii="Times New Roman" w:eastAsia="Calibri" w:hAnsi="Times New Roman" w:cs="Times New Roman"/>
          <w:sz w:val="28"/>
        </w:rPr>
        <w:lastRenderedPageBreak/>
        <w:t>структурированы в данном блоке. В каждом из указанных методик выделяются наиболее важные параметры для последующего анализа;</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5 – блок лекарственной терапии. В данном блоке отражены терапия пройденная в период заболевания с оценкой ее эффективности и необходимости в различных климатических регионах;</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6 – блок оксигенотерапии. В целях подтверждения гипотезы, нами выделены пункты по наличию, методу, интенсивности и продолжительности оксигенотерапии. Данные параментры позволили оценить эффективность, безопасность и приемлемость оксигенотерапии в разных условиях концентрации кислорода в окружающей среде;</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7 – блок интерлейкинового статуса. В категорию интерлейкинового статуса было решено отобрать по паре провосполительных интерлейкинов (IL-1β; IL-6) и противовоспалительных интерлейкинов (IL-10; TNF-α), как доступные в период исследования методы; </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8 – блок оксидантной система. В категории данных переменных, мы оценили количественные показатели гидроперекисей, нейтральных липидов, кетодиенов и оксидантного индекса. В блоке мы рассматривали влияния COVID-19 на дыхательную цепь, полноценное включение кислорода в биохимические процессы в организме человеке; </w:t>
      </w:r>
    </w:p>
    <w:p w:rsid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Для сбора блока клинических переменных нами была разработанная исследовательская карта.  Исследовательская карта заполнялась исключительно врачом амбулатория или стационара на каждого пациента отдельно, и содержала в своем составе информированное согласие с кратким описанием действий и манипуляций, которые будут проведены с пациентов в период исследования. В каждом пункте исследовательской карте отражались клинические признаки с шифрами характеристик описывающих и/или формулирующих конкретное проявление признака. Каждый клинический признак классифицирован согласно системной принадлежности исходного и/или эффекторного органа. Таким образом мы получили комплекс клинических признаков с системными и аналитическими характеристиками что </w:t>
      </w:r>
      <w:r w:rsidRPr="00537DDE">
        <w:rPr>
          <w:rFonts w:ascii="Times New Roman" w:eastAsia="Calibri" w:hAnsi="Times New Roman" w:cs="Times New Roman"/>
          <w:sz w:val="28"/>
        </w:rPr>
        <w:lastRenderedPageBreak/>
        <w:t xml:space="preserve">позволило нам сравнить исследуемые группы в рамках одной категории, а так же вывести корреляционные взаимосвязи в показателях в зависимости от переменных из других блоков в диапазоне одной группы со сравнением их в рамках одной категории (объект – больной </w:t>
      </w:r>
      <w:r w:rsidRPr="00537DDE">
        <w:rPr>
          <w:rFonts w:ascii="Times New Roman" w:eastAsia="Calibri" w:hAnsi="Times New Roman" w:cs="Times New Roman"/>
          <w:sz w:val="28"/>
          <w:lang w:val="en-US"/>
        </w:rPr>
        <w:t>COVID</w:t>
      </w:r>
      <w:r w:rsidRPr="00537DDE">
        <w:rPr>
          <w:rFonts w:ascii="Times New Roman" w:eastAsia="Calibri" w:hAnsi="Times New Roman" w:cs="Times New Roman"/>
          <w:sz w:val="28"/>
        </w:rPr>
        <w:t xml:space="preserve"> – 19; предмет – клинические признаки </w:t>
      </w:r>
      <w:r w:rsidRPr="00537DDE">
        <w:rPr>
          <w:rFonts w:ascii="Times New Roman" w:eastAsia="Calibri" w:hAnsi="Times New Roman" w:cs="Times New Roman"/>
          <w:sz w:val="28"/>
          <w:lang w:val="en-US"/>
        </w:rPr>
        <w:t>COVID</w:t>
      </w:r>
      <w:r w:rsidRPr="00537DDE">
        <w:rPr>
          <w:rFonts w:ascii="Times New Roman" w:eastAsia="Calibri" w:hAnsi="Times New Roman" w:cs="Times New Roman"/>
          <w:sz w:val="28"/>
        </w:rPr>
        <w:t xml:space="preserve">-19). </w:t>
      </w:r>
    </w:p>
    <w:p w:rsidR="00454AF9" w:rsidRPr="00537DDE" w:rsidRDefault="00454AF9" w:rsidP="00454AF9">
      <w:pPr>
        <w:spacing w:after="0" w:line="360" w:lineRule="auto"/>
        <w:ind w:firstLine="567"/>
        <w:jc w:val="both"/>
        <w:rPr>
          <w:rFonts w:ascii="Times New Roman" w:eastAsia="Calibri" w:hAnsi="Times New Roman" w:cs="Times New Roman"/>
          <w:sz w:val="28"/>
        </w:rPr>
      </w:pPr>
    </w:p>
    <w:p w:rsidR="00537DDE" w:rsidRPr="00537DDE" w:rsidRDefault="00FF46DF" w:rsidP="00454AF9">
      <w:pPr>
        <w:spacing w:after="0" w:line="360" w:lineRule="auto"/>
        <w:ind w:firstLine="567"/>
        <w:jc w:val="both"/>
        <w:rPr>
          <w:rFonts w:ascii="Times New Roman" w:eastAsia="Calibri" w:hAnsi="Times New Roman" w:cs="Times New Roman"/>
          <w:b/>
          <w:sz w:val="28"/>
        </w:rPr>
      </w:pPr>
      <w:r>
        <w:rPr>
          <w:rFonts w:ascii="Times New Roman" w:eastAsia="Calibri" w:hAnsi="Times New Roman" w:cs="Times New Roman"/>
          <w:b/>
          <w:sz w:val="28"/>
        </w:rPr>
        <w:t>2.3.</w:t>
      </w:r>
      <w:r w:rsidR="00537DDE" w:rsidRPr="00537DDE">
        <w:rPr>
          <w:rFonts w:ascii="Times New Roman" w:eastAsia="Calibri" w:hAnsi="Times New Roman" w:cs="Times New Roman"/>
          <w:b/>
          <w:sz w:val="28"/>
        </w:rPr>
        <w:t xml:space="preserve"> Формирование объекта и предметов исследования.</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Для достижения поставленных целей и решения задач было отобрано 990 пациентов обоих полов в возрасте 35 лет, диагнозом «Лабораторно подтвержденная короновирусная инфекция вызванная </w:t>
      </w:r>
      <w:r w:rsidRPr="00537DDE">
        <w:rPr>
          <w:rFonts w:ascii="Times New Roman" w:eastAsia="Calibri" w:hAnsi="Times New Roman" w:cs="Times New Roman"/>
          <w:sz w:val="28"/>
          <w:lang w:val="en-US"/>
        </w:rPr>
        <w:t>Sars</w:t>
      </w:r>
      <w:r w:rsidRPr="00537DDE">
        <w:rPr>
          <w:rFonts w:ascii="Times New Roman" w:eastAsia="Calibri" w:hAnsi="Times New Roman" w:cs="Times New Roman"/>
          <w:sz w:val="28"/>
        </w:rPr>
        <w:t>-</w:t>
      </w:r>
      <w:r w:rsidRPr="00537DDE">
        <w:rPr>
          <w:rFonts w:ascii="Times New Roman" w:eastAsia="Calibri" w:hAnsi="Times New Roman" w:cs="Times New Roman"/>
          <w:sz w:val="28"/>
          <w:lang w:val="en-US"/>
        </w:rPr>
        <w:t>Cov</w:t>
      </w:r>
      <w:r w:rsidRPr="00537DDE">
        <w:rPr>
          <w:rFonts w:ascii="Times New Roman" w:eastAsia="Calibri" w:hAnsi="Times New Roman" w:cs="Times New Roman"/>
          <w:sz w:val="28"/>
        </w:rPr>
        <w:t xml:space="preserve">-2». Пациенты отбирались в трех климатических регионах Кыргызской Республики. Было принято решение включить в исследование три степени тяжести (Легка, средней тяжести и тяжелая), очень тяжелую степень тяжести исключения ввиду недостаточного количества исследуемых. </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Объектом исследования стал больной с диагнозом «Лабораторно подтвержденная короновирусная инфекция вызванная </w:t>
      </w:r>
      <w:r w:rsidRPr="00537DDE">
        <w:rPr>
          <w:rFonts w:ascii="Times New Roman" w:eastAsia="Calibri" w:hAnsi="Times New Roman" w:cs="Times New Roman"/>
          <w:sz w:val="28"/>
          <w:lang w:val="en-US"/>
        </w:rPr>
        <w:t>Sars</w:t>
      </w:r>
      <w:r w:rsidRPr="00537DDE">
        <w:rPr>
          <w:rFonts w:ascii="Times New Roman" w:eastAsia="Calibri" w:hAnsi="Times New Roman" w:cs="Times New Roman"/>
          <w:sz w:val="28"/>
        </w:rPr>
        <w:t>-</w:t>
      </w:r>
      <w:r w:rsidRPr="00537DDE">
        <w:rPr>
          <w:rFonts w:ascii="Times New Roman" w:eastAsia="Calibri" w:hAnsi="Times New Roman" w:cs="Times New Roman"/>
          <w:sz w:val="28"/>
          <w:lang w:val="en-US"/>
        </w:rPr>
        <w:t>Cov</w:t>
      </w:r>
      <w:r w:rsidRPr="00537DDE">
        <w:rPr>
          <w:rFonts w:ascii="Times New Roman" w:eastAsia="Calibri" w:hAnsi="Times New Roman" w:cs="Times New Roman"/>
          <w:sz w:val="28"/>
        </w:rPr>
        <w:t>-2».</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Предметами исследований выступили:</w:t>
      </w:r>
    </w:p>
    <w:p w:rsidR="00537DDE" w:rsidRPr="00537DDE" w:rsidRDefault="00537DDE" w:rsidP="00454AF9">
      <w:pPr>
        <w:numPr>
          <w:ilvl w:val="0"/>
          <w:numId w:val="9"/>
        </w:numPr>
        <w:tabs>
          <w:tab w:val="left" w:pos="1134"/>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Клинические показатели в разных климатических регионах;</w:t>
      </w:r>
    </w:p>
    <w:p w:rsidR="00537DDE" w:rsidRPr="00537DDE" w:rsidRDefault="00537DDE" w:rsidP="00454AF9">
      <w:pPr>
        <w:numPr>
          <w:ilvl w:val="0"/>
          <w:numId w:val="9"/>
        </w:numPr>
        <w:tabs>
          <w:tab w:val="left" w:pos="1134"/>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Общие лабораторные показатели крови пациентов (Общий анализ крови, общий анализ мочи, Биохимический анализ крови);</w:t>
      </w:r>
    </w:p>
    <w:p w:rsidR="00537DDE" w:rsidRPr="00537DDE" w:rsidRDefault="00537DDE" w:rsidP="00454AF9">
      <w:pPr>
        <w:numPr>
          <w:ilvl w:val="0"/>
          <w:numId w:val="9"/>
        </w:numPr>
        <w:tabs>
          <w:tab w:val="left" w:pos="1134"/>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Состояние коагуляционной системы пациентов;</w:t>
      </w:r>
    </w:p>
    <w:p w:rsidR="00537DDE" w:rsidRPr="00537DDE" w:rsidRDefault="00537DDE" w:rsidP="00454AF9">
      <w:pPr>
        <w:numPr>
          <w:ilvl w:val="0"/>
          <w:numId w:val="9"/>
        </w:numPr>
        <w:tabs>
          <w:tab w:val="left" w:pos="1134"/>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Показатели антителообразования в динамике;</w:t>
      </w:r>
    </w:p>
    <w:p w:rsidR="00537DDE" w:rsidRPr="00537DDE" w:rsidRDefault="00537DDE" w:rsidP="00454AF9">
      <w:pPr>
        <w:numPr>
          <w:ilvl w:val="0"/>
          <w:numId w:val="9"/>
        </w:numPr>
        <w:tabs>
          <w:tab w:val="left" w:pos="1134"/>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Интерлейкиновый статус пациентов;</w:t>
      </w:r>
    </w:p>
    <w:p w:rsidR="00537DDE" w:rsidRPr="00537DDE" w:rsidRDefault="00537DDE" w:rsidP="00454AF9">
      <w:pPr>
        <w:numPr>
          <w:ilvl w:val="0"/>
          <w:numId w:val="9"/>
        </w:numPr>
        <w:tabs>
          <w:tab w:val="left" w:pos="1134"/>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Состояние оксидантной системы больных </w:t>
      </w:r>
      <w:r w:rsidRPr="00537DDE">
        <w:rPr>
          <w:rFonts w:ascii="Times New Roman" w:eastAsia="Calibri" w:hAnsi="Times New Roman" w:cs="Times New Roman"/>
          <w:sz w:val="28"/>
          <w:lang w:val="en-US"/>
        </w:rPr>
        <w:t>COVID</w:t>
      </w:r>
      <w:r w:rsidRPr="00537DDE">
        <w:rPr>
          <w:rFonts w:ascii="Times New Roman" w:eastAsia="Calibri" w:hAnsi="Times New Roman" w:cs="Times New Roman"/>
          <w:sz w:val="28"/>
        </w:rPr>
        <w:t>-19;</w:t>
      </w:r>
    </w:p>
    <w:p w:rsidR="00537DDE" w:rsidRPr="00537DDE" w:rsidRDefault="00537DDE" w:rsidP="00454AF9">
      <w:pPr>
        <w:numPr>
          <w:ilvl w:val="0"/>
          <w:numId w:val="9"/>
        </w:numPr>
        <w:tabs>
          <w:tab w:val="left" w:pos="1134"/>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Показатели эффективности оказанной терапии;</w:t>
      </w:r>
    </w:p>
    <w:p w:rsidR="00537DDE" w:rsidRDefault="00537DDE" w:rsidP="00454AF9">
      <w:pPr>
        <w:numPr>
          <w:ilvl w:val="0"/>
          <w:numId w:val="9"/>
        </w:numPr>
        <w:tabs>
          <w:tab w:val="left" w:pos="1134"/>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Показатели интерлейкинового статуса и оксидантной системы в период полной реконвалесценции. </w:t>
      </w:r>
    </w:p>
    <w:p w:rsidR="00454AF9" w:rsidRDefault="00454AF9" w:rsidP="00454AF9">
      <w:pPr>
        <w:tabs>
          <w:tab w:val="left" w:pos="1134"/>
        </w:tabs>
        <w:spacing w:after="0" w:line="360" w:lineRule="auto"/>
        <w:ind w:left="567"/>
        <w:contextualSpacing/>
        <w:jc w:val="both"/>
        <w:rPr>
          <w:rFonts w:ascii="Times New Roman" w:eastAsia="Calibri" w:hAnsi="Times New Roman" w:cs="Times New Roman"/>
          <w:sz w:val="28"/>
        </w:rPr>
      </w:pPr>
    </w:p>
    <w:p w:rsidR="00454AF9" w:rsidRDefault="00454AF9" w:rsidP="00454AF9">
      <w:pPr>
        <w:tabs>
          <w:tab w:val="left" w:pos="1134"/>
        </w:tabs>
        <w:spacing w:after="0" w:line="360" w:lineRule="auto"/>
        <w:ind w:left="567"/>
        <w:contextualSpacing/>
        <w:jc w:val="both"/>
        <w:rPr>
          <w:rFonts w:ascii="Times New Roman" w:eastAsia="Calibri" w:hAnsi="Times New Roman" w:cs="Times New Roman"/>
          <w:sz w:val="28"/>
        </w:rPr>
      </w:pPr>
    </w:p>
    <w:p w:rsidR="00454AF9" w:rsidRPr="00537DDE" w:rsidRDefault="00454AF9" w:rsidP="00454AF9">
      <w:pPr>
        <w:tabs>
          <w:tab w:val="left" w:pos="1134"/>
        </w:tabs>
        <w:spacing w:after="0" w:line="360" w:lineRule="auto"/>
        <w:ind w:left="567"/>
        <w:contextualSpacing/>
        <w:jc w:val="both"/>
        <w:rPr>
          <w:rFonts w:ascii="Times New Roman" w:eastAsia="Calibri" w:hAnsi="Times New Roman" w:cs="Times New Roman"/>
          <w:sz w:val="28"/>
        </w:rPr>
      </w:pP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lastRenderedPageBreak/>
        <w:t xml:space="preserve">Набор пациентов велся в трех климатических регионах: </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-Низкогорье – г.Бишкек, на базе Республиканской Клинической Инфекционной больницы Министерства здравоохранения КР (800м. над уровнем моря);</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-Среднегорье – г.Каракол, Иссык-Кульской области, на базе Иссык-Кульской Областной объединенной больницы МЗ КР (от 1690 до 1850 метров над уровнем моря);</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-Высокогорье – г.Нарын и Ат-Башинский район Нарынской области на базах Ат-Башинской территориальной больницы и Нарынской областной объединенной больницы (с НООБ включали пациентов только с фактическим адресом проживания на территориях выше 2500метров над уровнем моря). </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Во всех регионах было принято решение выключать по 330 пациентов с лабораторно подтвержденной коронавирусной инфекцией вызванной </w:t>
      </w:r>
      <w:r w:rsidRPr="00537DDE">
        <w:rPr>
          <w:rFonts w:ascii="Times New Roman" w:eastAsia="Calibri" w:hAnsi="Times New Roman" w:cs="Times New Roman"/>
          <w:sz w:val="28"/>
          <w:lang w:val="en-US"/>
        </w:rPr>
        <w:t>Sars</w:t>
      </w:r>
      <w:r w:rsidRPr="00537DDE">
        <w:rPr>
          <w:rFonts w:ascii="Times New Roman" w:eastAsia="Calibri" w:hAnsi="Times New Roman" w:cs="Times New Roman"/>
          <w:sz w:val="28"/>
        </w:rPr>
        <w:t>-</w:t>
      </w:r>
      <w:r w:rsidRPr="00537DDE">
        <w:rPr>
          <w:rFonts w:ascii="Times New Roman" w:eastAsia="Calibri" w:hAnsi="Times New Roman" w:cs="Times New Roman"/>
          <w:sz w:val="28"/>
          <w:lang w:val="en-US"/>
        </w:rPr>
        <w:t>CoV</w:t>
      </w:r>
      <w:r w:rsidRPr="00537DDE">
        <w:rPr>
          <w:rFonts w:ascii="Times New Roman" w:eastAsia="Calibri" w:hAnsi="Times New Roman" w:cs="Times New Roman"/>
          <w:sz w:val="28"/>
        </w:rPr>
        <w:t>-2. В Целях охвата легкой, средней тяжести и тяжелых пациентов и формирования репрезентативной выборки мы в каждом указанном регионе отобрали по 110 пациентов с каждой из представленных степеней тяжести.</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Критериями включения в исследование выступили показатели:</w:t>
      </w:r>
    </w:p>
    <w:p w:rsidR="00537DDE" w:rsidRPr="00FF46DF" w:rsidRDefault="00537DDE" w:rsidP="00454AF9">
      <w:pPr>
        <w:pStyle w:val="a5"/>
        <w:numPr>
          <w:ilvl w:val="0"/>
          <w:numId w:val="19"/>
        </w:numPr>
        <w:tabs>
          <w:tab w:val="left" w:pos="993"/>
        </w:tabs>
        <w:spacing w:after="0" w:line="360" w:lineRule="auto"/>
        <w:ind w:left="0" w:firstLine="567"/>
        <w:jc w:val="both"/>
        <w:rPr>
          <w:rFonts w:ascii="Times New Roman" w:hAnsi="Times New Roman"/>
          <w:sz w:val="28"/>
        </w:rPr>
      </w:pPr>
      <w:r w:rsidRPr="00FF46DF">
        <w:rPr>
          <w:rFonts w:ascii="Times New Roman" w:hAnsi="Times New Roman"/>
          <w:sz w:val="28"/>
        </w:rPr>
        <w:t>Возраст от 18 до 55 лет</w:t>
      </w:r>
    </w:p>
    <w:p w:rsidR="00537DDE" w:rsidRPr="00FF46DF" w:rsidRDefault="00537DDE" w:rsidP="00454AF9">
      <w:pPr>
        <w:pStyle w:val="a5"/>
        <w:numPr>
          <w:ilvl w:val="0"/>
          <w:numId w:val="19"/>
        </w:numPr>
        <w:tabs>
          <w:tab w:val="left" w:pos="993"/>
        </w:tabs>
        <w:spacing w:after="0" w:line="360" w:lineRule="auto"/>
        <w:ind w:left="0" w:firstLine="567"/>
        <w:jc w:val="both"/>
        <w:rPr>
          <w:rFonts w:ascii="Times New Roman" w:hAnsi="Times New Roman"/>
          <w:sz w:val="28"/>
        </w:rPr>
      </w:pPr>
      <w:r w:rsidRPr="00FF46DF">
        <w:rPr>
          <w:rFonts w:ascii="Times New Roman" w:hAnsi="Times New Roman"/>
          <w:sz w:val="28"/>
        </w:rPr>
        <w:t xml:space="preserve">Диагноз: лабораторно-подверженная коронавирусная инфекция вызванная </w:t>
      </w:r>
      <w:r w:rsidRPr="00FF46DF">
        <w:rPr>
          <w:rFonts w:ascii="Times New Roman" w:hAnsi="Times New Roman"/>
          <w:sz w:val="28"/>
          <w:lang w:val="en-US"/>
        </w:rPr>
        <w:t>Sars</w:t>
      </w:r>
      <w:r w:rsidRPr="00FF46DF">
        <w:rPr>
          <w:rFonts w:ascii="Times New Roman" w:hAnsi="Times New Roman"/>
          <w:sz w:val="28"/>
        </w:rPr>
        <w:t>-</w:t>
      </w:r>
      <w:r w:rsidRPr="00FF46DF">
        <w:rPr>
          <w:rFonts w:ascii="Times New Roman" w:hAnsi="Times New Roman"/>
          <w:sz w:val="28"/>
          <w:lang w:val="en-US"/>
        </w:rPr>
        <w:t>CoV</w:t>
      </w:r>
      <w:r w:rsidRPr="00FF46DF">
        <w:rPr>
          <w:rFonts w:ascii="Times New Roman" w:hAnsi="Times New Roman"/>
          <w:sz w:val="28"/>
        </w:rPr>
        <w:t>-2;</w:t>
      </w:r>
    </w:p>
    <w:p w:rsidR="00537DDE" w:rsidRPr="00FF46DF" w:rsidRDefault="00537DDE" w:rsidP="00454AF9">
      <w:pPr>
        <w:pStyle w:val="a5"/>
        <w:numPr>
          <w:ilvl w:val="0"/>
          <w:numId w:val="19"/>
        </w:numPr>
        <w:tabs>
          <w:tab w:val="left" w:pos="993"/>
        </w:tabs>
        <w:spacing w:after="0" w:line="360" w:lineRule="auto"/>
        <w:ind w:left="0" w:firstLine="567"/>
        <w:jc w:val="both"/>
        <w:rPr>
          <w:rFonts w:ascii="Times New Roman" w:hAnsi="Times New Roman"/>
          <w:sz w:val="28"/>
        </w:rPr>
      </w:pPr>
      <w:r w:rsidRPr="00FF46DF">
        <w:rPr>
          <w:rFonts w:ascii="Times New Roman" w:hAnsi="Times New Roman"/>
          <w:sz w:val="28"/>
        </w:rPr>
        <w:t>Адрес постоянного проживания на указанных выше климатических регионах (Низкогорье - 800—1000 м над уровнем моря; Среднегорье – 1000- 2500 м над уровнем моря; Высокогорье – от 2500 м и выше над уровнем моря.);</w:t>
      </w:r>
    </w:p>
    <w:p w:rsidR="00537DDE" w:rsidRPr="00FF46DF" w:rsidRDefault="00537DDE" w:rsidP="00454AF9">
      <w:pPr>
        <w:pStyle w:val="a5"/>
        <w:numPr>
          <w:ilvl w:val="0"/>
          <w:numId w:val="19"/>
        </w:numPr>
        <w:tabs>
          <w:tab w:val="left" w:pos="993"/>
        </w:tabs>
        <w:spacing w:after="0" w:line="360" w:lineRule="auto"/>
        <w:ind w:left="0" w:firstLine="567"/>
        <w:jc w:val="both"/>
        <w:rPr>
          <w:rFonts w:ascii="Times New Roman" w:hAnsi="Times New Roman"/>
          <w:sz w:val="28"/>
        </w:rPr>
      </w:pPr>
      <w:r w:rsidRPr="00FF46DF">
        <w:rPr>
          <w:rFonts w:ascii="Times New Roman" w:hAnsi="Times New Roman"/>
          <w:sz w:val="28"/>
        </w:rPr>
        <w:t>Фактическое амбулаторное или стационарное лечение пациента в период проведения исследования;</w:t>
      </w:r>
    </w:p>
    <w:p w:rsidR="00537DDE" w:rsidRPr="00FF46DF" w:rsidRDefault="00537DDE" w:rsidP="00454AF9">
      <w:pPr>
        <w:pStyle w:val="a5"/>
        <w:numPr>
          <w:ilvl w:val="0"/>
          <w:numId w:val="19"/>
        </w:numPr>
        <w:tabs>
          <w:tab w:val="left" w:pos="993"/>
        </w:tabs>
        <w:spacing w:after="0" w:line="360" w:lineRule="auto"/>
        <w:ind w:left="0" w:firstLine="567"/>
        <w:jc w:val="both"/>
        <w:rPr>
          <w:rFonts w:ascii="Times New Roman" w:hAnsi="Times New Roman"/>
          <w:sz w:val="28"/>
        </w:rPr>
      </w:pPr>
      <w:r w:rsidRPr="00FF46DF">
        <w:rPr>
          <w:rFonts w:ascii="Times New Roman" w:hAnsi="Times New Roman"/>
          <w:sz w:val="28"/>
        </w:rPr>
        <w:t>Добровольное информированное согласие на проведения исследования.</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Критериями исключения из исследования:</w:t>
      </w:r>
    </w:p>
    <w:p w:rsidR="00537DDE" w:rsidRPr="00FF46DF" w:rsidRDefault="00537DDE" w:rsidP="00454AF9">
      <w:pPr>
        <w:pStyle w:val="a5"/>
        <w:numPr>
          <w:ilvl w:val="0"/>
          <w:numId w:val="20"/>
        </w:numPr>
        <w:tabs>
          <w:tab w:val="left" w:pos="993"/>
        </w:tabs>
        <w:spacing w:after="0" w:line="360" w:lineRule="auto"/>
        <w:ind w:left="0" w:firstLine="567"/>
        <w:jc w:val="both"/>
        <w:rPr>
          <w:rFonts w:ascii="Times New Roman" w:hAnsi="Times New Roman"/>
          <w:sz w:val="28"/>
        </w:rPr>
      </w:pPr>
      <w:r w:rsidRPr="00FF46DF">
        <w:rPr>
          <w:rFonts w:ascii="Times New Roman" w:hAnsi="Times New Roman"/>
          <w:sz w:val="28"/>
        </w:rPr>
        <w:t>Отказ от участия в исследовании;</w:t>
      </w:r>
    </w:p>
    <w:p w:rsidR="00537DDE" w:rsidRPr="00FF46DF" w:rsidRDefault="00537DDE" w:rsidP="00454AF9">
      <w:pPr>
        <w:pStyle w:val="a5"/>
        <w:numPr>
          <w:ilvl w:val="0"/>
          <w:numId w:val="20"/>
        </w:numPr>
        <w:tabs>
          <w:tab w:val="left" w:pos="993"/>
        </w:tabs>
        <w:spacing w:after="0" w:line="360" w:lineRule="auto"/>
        <w:ind w:left="0" w:firstLine="567"/>
        <w:jc w:val="both"/>
        <w:rPr>
          <w:rFonts w:ascii="Times New Roman" w:hAnsi="Times New Roman"/>
          <w:sz w:val="28"/>
        </w:rPr>
      </w:pPr>
      <w:r w:rsidRPr="00FF46DF">
        <w:rPr>
          <w:rFonts w:ascii="Times New Roman" w:hAnsi="Times New Roman"/>
          <w:sz w:val="28"/>
        </w:rPr>
        <w:t>Онкологические заболевания у пациентов;</w:t>
      </w:r>
    </w:p>
    <w:p w:rsidR="00537DDE" w:rsidRPr="00FF46DF" w:rsidRDefault="00537DDE" w:rsidP="00454AF9">
      <w:pPr>
        <w:pStyle w:val="a5"/>
        <w:numPr>
          <w:ilvl w:val="0"/>
          <w:numId w:val="20"/>
        </w:numPr>
        <w:tabs>
          <w:tab w:val="left" w:pos="993"/>
        </w:tabs>
        <w:spacing w:after="0" w:line="360" w:lineRule="auto"/>
        <w:ind w:left="0" w:firstLine="567"/>
        <w:jc w:val="both"/>
        <w:rPr>
          <w:rFonts w:ascii="Times New Roman" w:hAnsi="Times New Roman"/>
          <w:sz w:val="28"/>
        </w:rPr>
      </w:pPr>
      <w:r w:rsidRPr="00FF46DF">
        <w:rPr>
          <w:rFonts w:ascii="Times New Roman" w:hAnsi="Times New Roman"/>
          <w:sz w:val="28"/>
        </w:rPr>
        <w:t>Беременность и период лактации;</w:t>
      </w:r>
    </w:p>
    <w:p w:rsidR="00537DDE" w:rsidRPr="00FF46DF" w:rsidRDefault="00537DDE" w:rsidP="00454AF9">
      <w:pPr>
        <w:pStyle w:val="a5"/>
        <w:numPr>
          <w:ilvl w:val="0"/>
          <w:numId w:val="20"/>
        </w:numPr>
        <w:tabs>
          <w:tab w:val="left" w:pos="993"/>
        </w:tabs>
        <w:spacing w:after="0" w:line="360" w:lineRule="auto"/>
        <w:ind w:left="0" w:firstLine="567"/>
        <w:jc w:val="both"/>
        <w:rPr>
          <w:rFonts w:ascii="Times New Roman" w:hAnsi="Times New Roman"/>
          <w:sz w:val="28"/>
        </w:rPr>
      </w:pPr>
      <w:r w:rsidRPr="00FF46DF">
        <w:rPr>
          <w:rFonts w:ascii="Times New Roman" w:hAnsi="Times New Roman"/>
          <w:sz w:val="28"/>
        </w:rPr>
        <w:lastRenderedPageBreak/>
        <w:t>Дети и подростки;</w:t>
      </w:r>
    </w:p>
    <w:p w:rsidR="00537DDE" w:rsidRPr="00FF46DF" w:rsidRDefault="00537DDE" w:rsidP="00454AF9">
      <w:pPr>
        <w:pStyle w:val="a5"/>
        <w:numPr>
          <w:ilvl w:val="0"/>
          <w:numId w:val="20"/>
        </w:numPr>
        <w:tabs>
          <w:tab w:val="left" w:pos="993"/>
        </w:tabs>
        <w:spacing w:after="0" w:line="360" w:lineRule="auto"/>
        <w:ind w:left="0" w:firstLine="567"/>
        <w:jc w:val="both"/>
        <w:rPr>
          <w:rFonts w:ascii="Times New Roman" w:hAnsi="Times New Roman"/>
          <w:sz w:val="28"/>
        </w:rPr>
      </w:pPr>
      <w:r w:rsidRPr="00FF46DF">
        <w:rPr>
          <w:rFonts w:ascii="Times New Roman" w:hAnsi="Times New Roman"/>
          <w:sz w:val="28"/>
        </w:rPr>
        <w:t xml:space="preserve">Больные ВИЧ-инфекцией и СПИД; </w:t>
      </w:r>
    </w:p>
    <w:p w:rsidR="00537DDE" w:rsidRPr="00FF46DF" w:rsidRDefault="00537DDE" w:rsidP="00454AF9">
      <w:pPr>
        <w:pStyle w:val="a5"/>
        <w:numPr>
          <w:ilvl w:val="0"/>
          <w:numId w:val="20"/>
        </w:numPr>
        <w:tabs>
          <w:tab w:val="left" w:pos="993"/>
        </w:tabs>
        <w:spacing w:after="0" w:line="360" w:lineRule="auto"/>
        <w:ind w:left="0" w:firstLine="567"/>
        <w:jc w:val="both"/>
        <w:rPr>
          <w:rFonts w:ascii="Times New Roman" w:hAnsi="Times New Roman"/>
          <w:sz w:val="28"/>
        </w:rPr>
      </w:pPr>
      <w:r w:rsidRPr="00FF46DF">
        <w:rPr>
          <w:rFonts w:ascii="Times New Roman" w:hAnsi="Times New Roman"/>
          <w:sz w:val="28"/>
        </w:rPr>
        <w:t>Больные с операциями на легких и органах грудной клетки в анамнезе;</w:t>
      </w:r>
    </w:p>
    <w:p w:rsidR="00537DDE" w:rsidRPr="00FF46DF" w:rsidRDefault="00537DDE" w:rsidP="00454AF9">
      <w:pPr>
        <w:pStyle w:val="a5"/>
        <w:numPr>
          <w:ilvl w:val="0"/>
          <w:numId w:val="20"/>
        </w:numPr>
        <w:tabs>
          <w:tab w:val="left" w:pos="993"/>
        </w:tabs>
        <w:spacing w:after="0" w:line="360" w:lineRule="auto"/>
        <w:ind w:left="0" w:firstLine="567"/>
        <w:jc w:val="both"/>
        <w:rPr>
          <w:rFonts w:ascii="Times New Roman" w:hAnsi="Times New Roman"/>
          <w:sz w:val="28"/>
        </w:rPr>
      </w:pPr>
      <w:r w:rsidRPr="00FF46DF">
        <w:rPr>
          <w:rFonts w:ascii="Times New Roman" w:hAnsi="Times New Roman"/>
          <w:sz w:val="28"/>
        </w:rPr>
        <w:t xml:space="preserve">Больные с ревматическими заболеваниями аутоиммуного генеза; </w:t>
      </w:r>
    </w:p>
    <w:p w:rsidR="00537DDE" w:rsidRPr="00FF46DF" w:rsidRDefault="00537DDE" w:rsidP="00454AF9">
      <w:pPr>
        <w:pStyle w:val="a5"/>
        <w:numPr>
          <w:ilvl w:val="0"/>
          <w:numId w:val="20"/>
        </w:numPr>
        <w:tabs>
          <w:tab w:val="left" w:pos="993"/>
        </w:tabs>
        <w:spacing w:after="0" w:line="360" w:lineRule="auto"/>
        <w:ind w:left="0" w:firstLine="567"/>
        <w:jc w:val="both"/>
        <w:rPr>
          <w:rFonts w:ascii="Times New Roman" w:hAnsi="Times New Roman"/>
          <w:sz w:val="28"/>
        </w:rPr>
      </w:pPr>
      <w:r w:rsidRPr="00FF46DF">
        <w:rPr>
          <w:rFonts w:ascii="Times New Roman" w:hAnsi="Times New Roman"/>
          <w:sz w:val="28"/>
        </w:rPr>
        <w:t>Старческий возраст (75 и выше);</w:t>
      </w:r>
    </w:p>
    <w:p w:rsidR="00537DDE" w:rsidRPr="00FF46DF" w:rsidRDefault="00537DDE" w:rsidP="00454AF9">
      <w:pPr>
        <w:pStyle w:val="a5"/>
        <w:numPr>
          <w:ilvl w:val="0"/>
          <w:numId w:val="20"/>
        </w:numPr>
        <w:tabs>
          <w:tab w:val="left" w:pos="993"/>
        </w:tabs>
        <w:spacing w:after="0" w:line="360" w:lineRule="auto"/>
        <w:ind w:left="0" w:firstLine="567"/>
        <w:jc w:val="both"/>
        <w:rPr>
          <w:rFonts w:ascii="Times New Roman" w:hAnsi="Times New Roman"/>
          <w:sz w:val="28"/>
        </w:rPr>
      </w:pPr>
      <w:r w:rsidRPr="00FF46DF">
        <w:rPr>
          <w:rFonts w:ascii="Times New Roman" w:hAnsi="Times New Roman"/>
          <w:sz w:val="28"/>
        </w:rPr>
        <w:t xml:space="preserve">Заболевания требующие постоянного приема препаратов угнетающих иммунную и интерлейкиновую системы человека; </w:t>
      </w:r>
    </w:p>
    <w:p w:rsidR="00537DDE" w:rsidRPr="00FF46DF" w:rsidRDefault="00537DDE" w:rsidP="00454AF9">
      <w:pPr>
        <w:pStyle w:val="a5"/>
        <w:numPr>
          <w:ilvl w:val="0"/>
          <w:numId w:val="20"/>
        </w:numPr>
        <w:tabs>
          <w:tab w:val="left" w:pos="993"/>
        </w:tabs>
        <w:spacing w:after="0" w:line="360" w:lineRule="auto"/>
        <w:ind w:left="0" w:firstLine="567"/>
        <w:jc w:val="both"/>
        <w:rPr>
          <w:rFonts w:ascii="Times New Roman" w:hAnsi="Times New Roman"/>
          <w:sz w:val="28"/>
        </w:rPr>
      </w:pPr>
      <w:r w:rsidRPr="00FF46DF">
        <w:rPr>
          <w:rFonts w:ascii="Times New Roman" w:hAnsi="Times New Roman"/>
          <w:sz w:val="28"/>
        </w:rPr>
        <w:t xml:space="preserve">Больные с хроническими формами парентеральных гепатитов. </w:t>
      </w:r>
    </w:p>
    <w:p w:rsidR="00454AF9" w:rsidRDefault="00454AF9" w:rsidP="00454AF9">
      <w:pPr>
        <w:spacing w:after="0" w:line="360" w:lineRule="auto"/>
        <w:ind w:firstLine="567"/>
        <w:jc w:val="both"/>
        <w:rPr>
          <w:rFonts w:ascii="Times New Roman" w:eastAsia="Calibri" w:hAnsi="Times New Roman" w:cs="Times New Roman"/>
          <w:b/>
          <w:sz w:val="28"/>
        </w:rPr>
      </w:pPr>
    </w:p>
    <w:p w:rsidR="00537DDE" w:rsidRPr="00537DDE" w:rsidRDefault="00FF46DF" w:rsidP="00454AF9">
      <w:pPr>
        <w:spacing w:after="0" w:line="360" w:lineRule="auto"/>
        <w:ind w:firstLine="567"/>
        <w:jc w:val="both"/>
        <w:rPr>
          <w:rFonts w:ascii="Times New Roman" w:eastAsia="Calibri" w:hAnsi="Times New Roman" w:cs="Times New Roman"/>
          <w:b/>
          <w:sz w:val="28"/>
        </w:rPr>
      </w:pPr>
      <w:r>
        <w:rPr>
          <w:rFonts w:ascii="Times New Roman" w:eastAsia="Calibri" w:hAnsi="Times New Roman" w:cs="Times New Roman"/>
          <w:b/>
          <w:sz w:val="28"/>
        </w:rPr>
        <w:t>2.4.</w:t>
      </w:r>
      <w:r w:rsidR="00537DDE" w:rsidRPr="00537DDE">
        <w:rPr>
          <w:rFonts w:ascii="Times New Roman" w:eastAsia="Calibri" w:hAnsi="Times New Roman" w:cs="Times New Roman"/>
          <w:b/>
          <w:sz w:val="28"/>
        </w:rPr>
        <w:t xml:space="preserve"> Дизайн исследования и структура исследуемых групп. </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Для достижения поставленных целей нами был выбран ретроспективный и проспективный когорные дизайны исследования. Ретроспективная когорта позволила определить участки пробелов знаний в области исследования и проспективная когорта выступила инструментом для доказательства выдвинутой гипотезы. </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Было решено внедрить категории пациентов в зависимости от степени тяжести состояния и каждую категорию пациентов разделить на группы в зависимости от климатического региона:</w:t>
      </w:r>
    </w:p>
    <w:p w:rsidR="00537DDE" w:rsidRPr="00537DDE" w:rsidRDefault="00FF46DF" w:rsidP="00454AF9">
      <w:pPr>
        <w:spacing w:after="0" w:line="360" w:lineRule="auto"/>
        <w:ind w:firstLine="567"/>
        <w:jc w:val="both"/>
        <w:rPr>
          <w:rFonts w:ascii="Times New Roman" w:eastAsia="Calibri" w:hAnsi="Times New Roman" w:cs="Times New Roman"/>
          <w:sz w:val="28"/>
        </w:rPr>
      </w:pPr>
      <w:r>
        <w:rPr>
          <w:rFonts w:ascii="Times New Roman" w:eastAsia="Calibri" w:hAnsi="Times New Roman" w:cs="Times New Roman"/>
          <w:sz w:val="28"/>
        </w:rPr>
        <w:t>1 – группа 20</w:t>
      </w:r>
      <w:r w:rsidR="00537DDE" w:rsidRPr="00537DDE">
        <w:rPr>
          <w:rFonts w:ascii="Times New Roman" w:eastAsia="Calibri" w:hAnsi="Times New Roman" w:cs="Times New Roman"/>
          <w:sz w:val="28"/>
        </w:rPr>
        <w:t>0 пациентов в низкогорных климатических условиях;</w:t>
      </w:r>
    </w:p>
    <w:p w:rsidR="00537DDE" w:rsidRPr="00537DDE" w:rsidRDefault="00FF46DF" w:rsidP="00454AF9">
      <w:pPr>
        <w:spacing w:after="0" w:line="360" w:lineRule="auto"/>
        <w:ind w:firstLine="567"/>
        <w:jc w:val="both"/>
        <w:rPr>
          <w:rFonts w:ascii="Times New Roman" w:eastAsia="Calibri" w:hAnsi="Times New Roman" w:cs="Times New Roman"/>
          <w:sz w:val="28"/>
        </w:rPr>
      </w:pPr>
      <w:r>
        <w:rPr>
          <w:rFonts w:ascii="Times New Roman" w:eastAsia="Calibri" w:hAnsi="Times New Roman" w:cs="Times New Roman"/>
          <w:sz w:val="28"/>
        </w:rPr>
        <w:t>2 – группа 20</w:t>
      </w:r>
      <w:r w:rsidR="00537DDE" w:rsidRPr="00537DDE">
        <w:rPr>
          <w:rFonts w:ascii="Times New Roman" w:eastAsia="Calibri" w:hAnsi="Times New Roman" w:cs="Times New Roman"/>
          <w:sz w:val="28"/>
        </w:rPr>
        <w:t>0 пациентов в среднегорных климатических условиях;</w:t>
      </w:r>
    </w:p>
    <w:p w:rsidR="00537DDE" w:rsidRPr="00537DDE" w:rsidRDefault="00FF46DF" w:rsidP="00454AF9">
      <w:pPr>
        <w:spacing w:after="0" w:line="360" w:lineRule="auto"/>
        <w:ind w:firstLine="567"/>
        <w:jc w:val="both"/>
        <w:rPr>
          <w:rFonts w:ascii="Times New Roman" w:eastAsia="Calibri" w:hAnsi="Times New Roman" w:cs="Times New Roman"/>
          <w:sz w:val="28"/>
        </w:rPr>
      </w:pPr>
      <w:r>
        <w:rPr>
          <w:rFonts w:ascii="Times New Roman" w:eastAsia="Calibri" w:hAnsi="Times New Roman" w:cs="Times New Roman"/>
          <w:sz w:val="28"/>
        </w:rPr>
        <w:t>3 – группа 20</w:t>
      </w:r>
      <w:r w:rsidR="00537DDE" w:rsidRPr="00537DDE">
        <w:rPr>
          <w:rFonts w:ascii="Times New Roman" w:eastAsia="Calibri" w:hAnsi="Times New Roman" w:cs="Times New Roman"/>
          <w:sz w:val="28"/>
        </w:rPr>
        <w:t>0 пациентов в высокогорных климатических условиях.</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Категория 2 – больные с лабораторно подтвержденной коронавирусной инфекцией средней степени тяжести:</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1 – группа 110 пациентов в низкогорных климатических условиях;</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2 – группа 110 пациентов в среднегорных климатических условиях;</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3 – группа 110 пациентов в высокогорных климатических условиях.</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Данные на выходе исследования по указанным выше показателям пациентов сравнивались между группами в рамках одной категории. Оценка показателей осуществлялись тестированием на сертифицированном </w:t>
      </w:r>
      <w:r w:rsidRPr="00537DDE">
        <w:rPr>
          <w:rFonts w:ascii="Times New Roman" w:eastAsia="Calibri" w:hAnsi="Times New Roman" w:cs="Times New Roman"/>
          <w:sz w:val="28"/>
        </w:rPr>
        <w:lastRenderedPageBreak/>
        <w:t xml:space="preserve">Министерством здравоохранения Кыргызской Республики и Государственном учреждении «Кыргыз Стандарт» оборудовании. </w:t>
      </w:r>
    </w:p>
    <w:p w:rsidR="00454AF9" w:rsidRDefault="00454AF9" w:rsidP="00454AF9">
      <w:pPr>
        <w:spacing w:after="0" w:line="360" w:lineRule="auto"/>
        <w:ind w:firstLine="567"/>
        <w:jc w:val="both"/>
        <w:rPr>
          <w:rFonts w:ascii="Times New Roman" w:eastAsia="Calibri" w:hAnsi="Times New Roman" w:cs="Times New Roman"/>
          <w:b/>
          <w:sz w:val="28"/>
        </w:rPr>
      </w:pPr>
    </w:p>
    <w:p w:rsidR="00537DDE" w:rsidRPr="00537DDE" w:rsidRDefault="00FF46DF" w:rsidP="00454AF9">
      <w:pPr>
        <w:spacing w:after="0" w:line="360" w:lineRule="auto"/>
        <w:ind w:firstLine="567"/>
        <w:jc w:val="both"/>
        <w:rPr>
          <w:rFonts w:ascii="Times New Roman" w:eastAsia="Calibri" w:hAnsi="Times New Roman" w:cs="Times New Roman"/>
          <w:b/>
          <w:sz w:val="28"/>
        </w:rPr>
      </w:pPr>
      <w:r>
        <w:rPr>
          <w:rFonts w:ascii="Times New Roman" w:eastAsia="Calibri" w:hAnsi="Times New Roman" w:cs="Times New Roman"/>
          <w:b/>
          <w:sz w:val="28"/>
        </w:rPr>
        <w:t>2.5.</w:t>
      </w:r>
      <w:r w:rsidR="00537DDE" w:rsidRPr="00537DDE">
        <w:rPr>
          <w:rFonts w:ascii="Times New Roman" w:eastAsia="Calibri" w:hAnsi="Times New Roman" w:cs="Times New Roman"/>
          <w:b/>
          <w:sz w:val="28"/>
        </w:rPr>
        <w:t xml:space="preserve"> Клиническое обследование и лабораторные исследования пациентов с </w:t>
      </w:r>
      <w:r w:rsidR="00537DDE" w:rsidRPr="00537DDE">
        <w:rPr>
          <w:rFonts w:ascii="Times New Roman" w:eastAsia="Calibri" w:hAnsi="Times New Roman" w:cs="Times New Roman"/>
          <w:b/>
          <w:sz w:val="28"/>
          <w:lang w:val="en-US"/>
        </w:rPr>
        <w:t>COVID</w:t>
      </w:r>
      <w:r w:rsidR="00537DDE" w:rsidRPr="00537DDE">
        <w:rPr>
          <w:rFonts w:ascii="Times New Roman" w:eastAsia="Calibri" w:hAnsi="Times New Roman" w:cs="Times New Roman"/>
          <w:b/>
          <w:sz w:val="28"/>
        </w:rPr>
        <w:t xml:space="preserve"> – 19.</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В целях формирования переменных значений у исследуемых групп, было принято решение формирование следующих блоков показателей, согласно Приказу МЗ КР №173 от 20.03.2020 «Временное клиническое руководство по диагностике и лечению коронавирусной инфекции COVID-19»; Приказу №219 МЗ КР от 05.04.2020 «Об внесении дополнений во временное клиническое руководство по диагностике и лечению корона вирусной инфекции в Кыргызской Республике»; Приказу №16 МЗ КР от 13.01.20202 «Клиническое руководство по диагностике и лечению коронавирусной инфекции» и  «Методические рекомендации по кодированию и выбору основного состояния в статистике заболеваемости и первоначальной причины в статистике смертности, связанных с COVID-19» (Версия 1 от 27.05.2020) МЗ РФ:</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1 – блок клинические данные. В данный блок переменных включались показатели клинических признаков </w:t>
      </w:r>
      <w:r w:rsidRPr="00537DDE">
        <w:rPr>
          <w:rFonts w:ascii="Times New Roman" w:eastAsia="Calibri" w:hAnsi="Times New Roman" w:cs="Times New Roman"/>
          <w:sz w:val="28"/>
          <w:lang w:val="en-US"/>
        </w:rPr>
        <w:t>COVID</w:t>
      </w:r>
      <w:r w:rsidRPr="00537DDE">
        <w:rPr>
          <w:rFonts w:ascii="Times New Roman" w:eastAsia="Calibri" w:hAnsi="Times New Roman" w:cs="Times New Roman"/>
          <w:sz w:val="28"/>
        </w:rPr>
        <w:t>-19;</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2 – блок общелабораторных переменных. В данный блок включались общелабораторные переменные в роли показателей состояния организма в период заболевания в разных климатических регионах;</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3 – блок коагуляционной системы крови. В данный блок включены все переменные характеризующие свертывающую систему крови, в фазах активации, коагуляции, ретракции, а так же показатель канализации тромбов;  </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4 – блок инструментальных исследований. Переменные полученные в результате рентгенологических методов исследования, ЭКГ, КТ и УЗИ структурированы в данном блоке. В каждом из указанных методик выделяются наиболее важные параметры для последующего анализа;</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lastRenderedPageBreak/>
        <w:t>5 – блок лекарственной терапии. В данном блоке отражены терапия пройденная в период заболевания с оценкой ее эффективности и необходимости в различных климатических регионах;</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6 – блок оксигенотерапии. В целях подтверждения гипотезы, нами выделены пункты по наличию, методу, интенсивности и продолжительности оксигенотерапии. Данные параментры позволили оценить эффективность, безопасность и приемлемость оксигенотерапии в разных условиях концентрации кислорода в окружающей среде;</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7 – блок интерлейкинового статуса. В категорию интерлейкинового статуса было решено отобрать по паре провосполительных интерлейкинов (</w:t>
      </w:r>
      <w:r w:rsidRPr="00537DDE">
        <w:rPr>
          <w:rFonts w:ascii="Times New Roman" w:eastAsia="Calibri" w:hAnsi="Times New Roman" w:cs="Times New Roman"/>
          <w:sz w:val="28"/>
          <w:lang w:val="en-US"/>
        </w:rPr>
        <w:t>IL</w:t>
      </w:r>
      <w:r w:rsidRPr="00537DDE">
        <w:rPr>
          <w:rFonts w:ascii="Times New Roman" w:eastAsia="Calibri" w:hAnsi="Times New Roman" w:cs="Times New Roman"/>
          <w:sz w:val="28"/>
        </w:rPr>
        <w:t xml:space="preserve">-1β; </w:t>
      </w:r>
      <w:r w:rsidRPr="00537DDE">
        <w:rPr>
          <w:rFonts w:ascii="Times New Roman" w:eastAsia="Calibri" w:hAnsi="Times New Roman" w:cs="Times New Roman"/>
          <w:sz w:val="28"/>
          <w:lang w:val="en-US"/>
        </w:rPr>
        <w:t>IL</w:t>
      </w:r>
      <w:r w:rsidRPr="00537DDE">
        <w:rPr>
          <w:rFonts w:ascii="Times New Roman" w:eastAsia="Calibri" w:hAnsi="Times New Roman" w:cs="Times New Roman"/>
          <w:sz w:val="28"/>
        </w:rPr>
        <w:t>-6) и противовоспалительных интерлейкинов (</w:t>
      </w:r>
      <w:r w:rsidRPr="00537DDE">
        <w:rPr>
          <w:rFonts w:ascii="Times New Roman" w:eastAsia="Calibri" w:hAnsi="Times New Roman" w:cs="Times New Roman"/>
          <w:sz w:val="28"/>
          <w:lang w:val="en-US"/>
        </w:rPr>
        <w:t>IL</w:t>
      </w:r>
      <w:r w:rsidRPr="00537DDE">
        <w:rPr>
          <w:rFonts w:ascii="Times New Roman" w:eastAsia="Calibri" w:hAnsi="Times New Roman" w:cs="Times New Roman"/>
          <w:sz w:val="28"/>
        </w:rPr>
        <w:t xml:space="preserve">-10; </w:t>
      </w:r>
      <w:r w:rsidRPr="00537DDE">
        <w:rPr>
          <w:rFonts w:ascii="Times New Roman" w:eastAsia="Calibri" w:hAnsi="Times New Roman" w:cs="Times New Roman"/>
          <w:sz w:val="28"/>
          <w:lang w:val="en-US"/>
        </w:rPr>
        <w:t>TNF</w:t>
      </w:r>
      <w:r w:rsidRPr="00537DDE">
        <w:rPr>
          <w:rFonts w:ascii="Times New Roman" w:eastAsia="Calibri" w:hAnsi="Times New Roman" w:cs="Times New Roman"/>
          <w:sz w:val="28"/>
        </w:rPr>
        <w:t xml:space="preserve">-α), как доступные в период исследования методы; </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8 – блок оксидантной система. В категории данных переменных, мы оценили количественные показатели гидроперекисей, нейтральных липидов, кетодиенов и оксидантного индекса. В блоке мы рассматривали влияния </w:t>
      </w:r>
      <w:r w:rsidRPr="00537DDE">
        <w:rPr>
          <w:rFonts w:ascii="Times New Roman" w:eastAsia="Calibri" w:hAnsi="Times New Roman" w:cs="Times New Roman"/>
          <w:sz w:val="28"/>
          <w:lang w:val="en-US"/>
        </w:rPr>
        <w:t>COVID</w:t>
      </w:r>
      <w:r w:rsidRPr="00537DDE">
        <w:rPr>
          <w:rFonts w:ascii="Times New Roman" w:eastAsia="Calibri" w:hAnsi="Times New Roman" w:cs="Times New Roman"/>
          <w:sz w:val="28"/>
        </w:rPr>
        <w:t xml:space="preserve">-19 на дыхательную цепь, полноценное включение кислорода в биохимические процессы в организме человеке; </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9 – блок формирования иммунитета. Параметры данного блока являлись показателем формирования специфического приобретенного иммунитета в период заболевания и период полной реконвалесценции в целях определения влияния климата на процесс антителообразования.</w:t>
      </w:r>
    </w:p>
    <w:p w:rsidR="00454AF9" w:rsidRDefault="00454AF9" w:rsidP="00454AF9">
      <w:pPr>
        <w:spacing w:after="0" w:line="360" w:lineRule="auto"/>
        <w:ind w:firstLine="567"/>
        <w:jc w:val="both"/>
        <w:rPr>
          <w:rFonts w:ascii="Times New Roman" w:eastAsia="Calibri" w:hAnsi="Times New Roman" w:cs="Times New Roman"/>
          <w:b/>
          <w:sz w:val="28"/>
        </w:rPr>
      </w:pPr>
    </w:p>
    <w:p w:rsidR="00537DDE" w:rsidRPr="00537DDE" w:rsidRDefault="006C725D" w:rsidP="00454AF9">
      <w:pPr>
        <w:spacing w:after="0" w:line="360" w:lineRule="auto"/>
        <w:ind w:firstLine="567"/>
        <w:jc w:val="both"/>
        <w:rPr>
          <w:rFonts w:ascii="Times New Roman" w:eastAsia="Calibri" w:hAnsi="Times New Roman" w:cs="Times New Roman"/>
          <w:b/>
          <w:sz w:val="28"/>
        </w:rPr>
      </w:pPr>
      <w:r>
        <w:rPr>
          <w:rFonts w:ascii="Times New Roman" w:eastAsia="Calibri" w:hAnsi="Times New Roman" w:cs="Times New Roman"/>
          <w:b/>
          <w:sz w:val="28"/>
        </w:rPr>
        <w:t>2.6.</w:t>
      </w:r>
      <w:r w:rsidR="00537DDE" w:rsidRPr="00537DDE">
        <w:rPr>
          <w:rFonts w:ascii="Times New Roman" w:eastAsia="Calibri" w:hAnsi="Times New Roman" w:cs="Times New Roman"/>
          <w:b/>
          <w:sz w:val="28"/>
        </w:rPr>
        <w:t xml:space="preserve"> Методы и методики исследования.</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Для сбора блока клинических переменных нами была разработанная исследовательская карта.  Исследовательская карта заполнялась исключительно врачом амбулатория или стационара на каждого пациента отдельно, и содержала в своем составе информированное согласие с кратким описанием действий и манипуляций, которые будут проведены с пациентов в период исследования. В каждом пункте исследовательской карте отражались клинические признаки с шифрами характеристик описывающих и/или </w:t>
      </w:r>
      <w:r w:rsidRPr="00537DDE">
        <w:rPr>
          <w:rFonts w:ascii="Times New Roman" w:eastAsia="Calibri" w:hAnsi="Times New Roman" w:cs="Times New Roman"/>
          <w:sz w:val="28"/>
        </w:rPr>
        <w:lastRenderedPageBreak/>
        <w:t xml:space="preserve">формулирующих конкретное проявление признака. Каждый клинический признак классифицирован согласно системной принадлежности исходного и/или эффекторного органа. Таким образом мы получили комплекс клинических признаков с системными и аналитическими характеристиками что позволило нам сравнить исследуемые группы в рамках одной категории, а так же вывести корреляционные взаимосвязи в показателях в зависимости от переменных из других блоков в диапазоне одной группы со сравнением их в рамках одной категории (объект – больной </w:t>
      </w:r>
      <w:r w:rsidRPr="00537DDE">
        <w:rPr>
          <w:rFonts w:ascii="Times New Roman" w:eastAsia="Calibri" w:hAnsi="Times New Roman" w:cs="Times New Roman"/>
          <w:sz w:val="28"/>
          <w:lang w:val="en-US"/>
        </w:rPr>
        <w:t>COVID</w:t>
      </w:r>
      <w:r w:rsidRPr="00537DDE">
        <w:rPr>
          <w:rFonts w:ascii="Times New Roman" w:eastAsia="Calibri" w:hAnsi="Times New Roman" w:cs="Times New Roman"/>
          <w:sz w:val="28"/>
        </w:rPr>
        <w:t xml:space="preserve"> – 19; предмет – клинические признаки </w:t>
      </w:r>
      <w:r w:rsidRPr="00537DDE">
        <w:rPr>
          <w:rFonts w:ascii="Times New Roman" w:eastAsia="Calibri" w:hAnsi="Times New Roman" w:cs="Times New Roman"/>
          <w:sz w:val="28"/>
          <w:lang w:val="en-US"/>
        </w:rPr>
        <w:t>COVID</w:t>
      </w:r>
      <w:r w:rsidRPr="00537DDE">
        <w:rPr>
          <w:rFonts w:ascii="Times New Roman" w:eastAsia="Calibri" w:hAnsi="Times New Roman" w:cs="Times New Roman"/>
          <w:sz w:val="28"/>
        </w:rPr>
        <w:t xml:space="preserve">-19). </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Блок лабораторных исследований отражает объективное состояние исследуемых в период заболевания. В данную категорию переменных включены:</w:t>
      </w:r>
    </w:p>
    <w:p w:rsidR="00537DDE" w:rsidRPr="00537DDE" w:rsidRDefault="00537DDE" w:rsidP="00454AF9">
      <w:pPr>
        <w:numPr>
          <w:ilvl w:val="0"/>
          <w:numId w:val="10"/>
        </w:numPr>
        <w:tabs>
          <w:tab w:val="left" w:pos="993"/>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Общий анализ крови – проводился классическим методом в клинических лабораториях при указанных выше лечебных организациях. (объект – больной COVID – 19; предмет – цельная кровь);</w:t>
      </w:r>
    </w:p>
    <w:p w:rsidR="00537DDE" w:rsidRPr="00537DDE" w:rsidRDefault="00537DDE" w:rsidP="00454AF9">
      <w:pPr>
        <w:numPr>
          <w:ilvl w:val="0"/>
          <w:numId w:val="10"/>
        </w:numPr>
        <w:tabs>
          <w:tab w:val="left" w:pos="993"/>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Общий анализ мочи - проводился классическим методом в клинических лабораториях при указанных выше лечебных организациях. В переменных данной группы выделялись основные позиции без излишней детализации и второстепенных характеристик (объект – больной COVID – 19; предмет – моча).;</w:t>
      </w:r>
    </w:p>
    <w:p w:rsidR="00537DDE" w:rsidRPr="00537DDE" w:rsidRDefault="00537DDE" w:rsidP="00454AF9">
      <w:pPr>
        <w:numPr>
          <w:ilvl w:val="0"/>
          <w:numId w:val="10"/>
        </w:numPr>
        <w:tabs>
          <w:tab w:val="left" w:pos="993"/>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Биохимический анализ крови – в данную категорию были включены показатели: глюкозы (ммоль/л), биллирубина (ммоль/л), общего белка (г/л), альбумина (г/л), креатинина (ммоль/л), аланинаминотрансферазы (ЕД/л), аспартатаминотрансферазы (ЕД/л), С-реативного белка (г/л), мочевины (мкмоль/л). Показатели липидного спектра: холестерин (ммоль/л), липопротеины низкой плотности (ммоль/л), липопротеины высокой плотности (ммоль/л), триглицериды (ммоль/л).  Данные анализы проводились методом спектрофотомерии сывороток крови на спектрофотометр ПЭ-5400УФ. Коэффициент атерогенной (КА) высчитывали математической формулы КА = (общий ХС – ЛПВП)/ЛПВП. Электролитный состав отражался следующими </w:t>
      </w:r>
      <w:r w:rsidRPr="00537DDE">
        <w:rPr>
          <w:rFonts w:ascii="Times New Roman" w:eastAsia="Calibri" w:hAnsi="Times New Roman" w:cs="Times New Roman"/>
          <w:sz w:val="28"/>
        </w:rPr>
        <w:lastRenderedPageBreak/>
        <w:t>показателями: калий (ммоль/л), натрий (ммоль/л), хлор (ммоль/л). Концентрацию электролитов определяли методом потенциометрии на анализаторе E-Lyte Plus (объект – больной COVID – 19; предмет – сыворотка крови);</w:t>
      </w:r>
    </w:p>
    <w:p w:rsidR="00537DDE" w:rsidRPr="00537DDE" w:rsidRDefault="00537DDE" w:rsidP="00454AF9">
      <w:pPr>
        <w:numPr>
          <w:ilvl w:val="0"/>
          <w:numId w:val="10"/>
        </w:numPr>
        <w:tabs>
          <w:tab w:val="left" w:pos="993"/>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Коагулограмма пациентов включают в себя следующие переменные: АЧТВ (сек.), ПТВ (сек.), ПТИ (%), МНО (МЕ), тромбиновое время (сек), Д-димер (нг/л), фибрин (г/л) и фибриноген (г/л). Каждый из представленных параметров определялся иммунотурбидиметрией, кинетический колориметрическии методом, коагулометрией, методом свертывания в разведенной плазме (количественный) – в зависимости от необходимого теста (объект – больной COVID – 19; предмет –кровь);</w:t>
      </w:r>
    </w:p>
    <w:p w:rsidR="00537DDE" w:rsidRPr="00537DDE" w:rsidRDefault="00537DDE" w:rsidP="00454AF9">
      <w:pPr>
        <w:numPr>
          <w:ilvl w:val="0"/>
          <w:numId w:val="10"/>
        </w:numPr>
        <w:tabs>
          <w:tab w:val="left" w:pos="993"/>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Инструментальные данные – включали в себя: рентгенограмму грудной клетки в двух проекциях с оценкой инфильтраций, прозрачности полей, легочного рисунка и топографическим расположением патологического очага(ов); Компьютерная томография грудной клетки оценивала детальную топографию поражённых участков, процент поражения паренхимы, конфигурацию сердца, состояния средостения, мягкие ткани, наличие жидкости в плевральной полости и характер очагов поражения; ЭКГ оценивала общую электропроводность сердца используя параметры сегмента </w:t>
      </w:r>
      <w:r w:rsidRPr="00537DDE">
        <w:rPr>
          <w:rFonts w:ascii="Times New Roman" w:eastAsia="Calibri" w:hAnsi="Times New Roman" w:cs="Times New Roman"/>
          <w:sz w:val="28"/>
          <w:lang w:val="en-US"/>
        </w:rPr>
        <w:t>P</w:t>
      </w:r>
      <w:r w:rsidRPr="00537DDE">
        <w:rPr>
          <w:rFonts w:ascii="Times New Roman" w:eastAsia="Calibri" w:hAnsi="Times New Roman" w:cs="Times New Roman"/>
          <w:sz w:val="28"/>
        </w:rPr>
        <w:t>-</w:t>
      </w:r>
      <w:r w:rsidRPr="00537DDE">
        <w:rPr>
          <w:rFonts w:ascii="Times New Roman" w:eastAsia="Calibri" w:hAnsi="Times New Roman" w:cs="Times New Roman"/>
          <w:sz w:val="28"/>
          <w:lang w:val="en-US"/>
        </w:rPr>
        <w:t>Q</w:t>
      </w:r>
      <w:r w:rsidRPr="00537DDE">
        <w:rPr>
          <w:rFonts w:ascii="Times New Roman" w:eastAsia="Calibri" w:hAnsi="Times New Roman" w:cs="Times New Roman"/>
          <w:sz w:val="28"/>
        </w:rPr>
        <w:t xml:space="preserve">, комплекса </w:t>
      </w:r>
      <w:r w:rsidRPr="00537DDE">
        <w:rPr>
          <w:rFonts w:ascii="Times New Roman" w:eastAsia="Calibri" w:hAnsi="Times New Roman" w:cs="Times New Roman"/>
          <w:sz w:val="28"/>
          <w:lang w:val="en-US"/>
        </w:rPr>
        <w:t>QRS</w:t>
      </w:r>
      <w:r w:rsidRPr="00537DDE">
        <w:rPr>
          <w:rFonts w:ascii="Times New Roman" w:eastAsia="Calibri" w:hAnsi="Times New Roman" w:cs="Times New Roman"/>
          <w:sz w:val="28"/>
        </w:rPr>
        <w:t xml:space="preserve"> и сегмента </w:t>
      </w:r>
      <w:r w:rsidRPr="00537DDE">
        <w:rPr>
          <w:rFonts w:ascii="Times New Roman" w:eastAsia="Calibri" w:hAnsi="Times New Roman" w:cs="Times New Roman"/>
          <w:sz w:val="28"/>
          <w:lang w:val="en-US"/>
        </w:rPr>
        <w:t>S</w:t>
      </w:r>
      <w:r w:rsidRPr="00537DDE">
        <w:rPr>
          <w:rFonts w:ascii="Times New Roman" w:eastAsia="Calibri" w:hAnsi="Times New Roman" w:cs="Times New Roman"/>
          <w:sz w:val="28"/>
        </w:rPr>
        <w:t>-</w:t>
      </w:r>
      <w:r w:rsidRPr="00537DDE">
        <w:rPr>
          <w:rFonts w:ascii="Times New Roman" w:eastAsia="Calibri" w:hAnsi="Times New Roman" w:cs="Times New Roman"/>
          <w:sz w:val="28"/>
          <w:lang w:val="en-US"/>
        </w:rPr>
        <w:t>T</w:t>
      </w:r>
      <w:r w:rsidRPr="00537DDE">
        <w:rPr>
          <w:rFonts w:ascii="Times New Roman" w:eastAsia="Calibri" w:hAnsi="Times New Roman" w:cs="Times New Roman"/>
          <w:sz w:val="28"/>
        </w:rPr>
        <w:t xml:space="preserve"> как наиболее информативных показателей; УЗИ внутренних органов, дало понимание в общем морфо-функциональном состоянии систем органов в период заболевания (объект – больной COVID – 19; предмет –орган мишень исследования);</w:t>
      </w:r>
    </w:p>
    <w:p w:rsidR="00537DDE" w:rsidRPr="00537DDE" w:rsidRDefault="00537DDE" w:rsidP="00454AF9">
      <w:pPr>
        <w:numPr>
          <w:ilvl w:val="0"/>
          <w:numId w:val="10"/>
        </w:numPr>
        <w:tabs>
          <w:tab w:val="left" w:pos="993"/>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Лекарственные средства используемые в терапии </w:t>
      </w:r>
      <w:r w:rsidRPr="00537DDE">
        <w:rPr>
          <w:rFonts w:ascii="Times New Roman" w:eastAsia="Calibri" w:hAnsi="Times New Roman" w:cs="Times New Roman"/>
          <w:sz w:val="28"/>
          <w:lang w:val="en-US"/>
        </w:rPr>
        <w:t>COVID</w:t>
      </w:r>
      <w:r w:rsidRPr="00537DDE">
        <w:rPr>
          <w:rFonts w:ascii="Times New Roman" w:eastAsia="Calibri" w:hAnsi="Times New Roman" w:cs="Times New Roman"/>
          <w:sz w:val="28"/>
        </w:rPr>
        <w:t>-19 нами разделены по частоте их применения: так антипиретики оценивались и сравнивались по выбранному препарату и дозе в корреляции с иными данными, данная схема применялась для антибиотиков, глюкокортикостероидов и иных препаратов используемые в терапии (объект – больной COVID – 19; предмет – эффективность лекарственной терапии);</w:t>
      </w:r>
    </w:p>
    <w:p w:rsidR="00537DDE" w:rsidRPr="00537DDE" w:rsidRDefault="00537DDE" w:rsidP="00454AF9">
      <w:pPr>
        <w:numPr>
          <w:ilvl w:val="0"/>
          <w:numId w:val="10"/>
        </w:numPr>
        <w:tabs>
          <w:tab w:val="left" w:pos="993"/>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lastRenderedPageBreak/>
        <w:t xml:space="preserve">Оксигенотерапия – в блоке рассмотривался вопрос объема и метода введения оксигенотерапии: таким образом мы выделили кислородотерапию, высокопоточную назальную оксигенотерапию, не инвазивную вентиляцию легких и инвазивную вентиляцию легкий. В каждом из указанных параметров мы оценили их влияние на систему перекислого окисления липидов и общим состоянием организма в период заболевания (объект – больной COVID – 19; предмет – эффективность оксигенотерапии); </w:t>
      </w:r>
    </w:p>
    <w:p w:rsidR="00537DDE" w:rsidRDefault="00537DDE" w:rsidP="00454AF9">
      <w:pPr>
        <w:numPr>
          <w:ilvl w:val="0"/>
          <w:numId w:val="10"/>
        </w:numPr>
        <w:tabs>
          <w:tab w:val="left" w:pos="993"/>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Интерлейкиновый статус оценивался по показателям двух антогонирующих систем медиаторного регулирования воспаления, так </w:t>
      </w:r>
      <w:r w:rsidRPr="00537DDE">
        <w:rPr>
          <w:rFonts w:ascii="Times New Roman" w:eastAsia="Calibri" w:hAnsi="Times New Roman" w:cs="Times New Roman"/>
          <w:sz w:val="28"/>
          <w:lang w:val="en-US"/>
        </w:rPr>
        <w:t>IL</w:t>
      </w:r>
      <w:r w:rsidRPr="00537DDE">
        <w:rPr>
          <w:rFonts w:ascii="Times New Roman" w:eastAsia="Calibri" w:hAnsi="Times New Roman" w:cs="Times New Roman"/>
          <w:sz w:val="28"/>
        </w:rPr>
        <w:t xml:space="preserve">-1β и </w:t>
      </w:r>
      <w:r w:rsidRPr="00537DDE">
        <w:rPr>
          <w:rFonts w:ascii="Times New Roman" w:eastAsia="Calibri" w:hAnsi="Times New Roman" w:cs="Times New Roman"/>
          <w:sz w:val="28"/>
          <w:lang w:val="en-US"/>
        </w:rPr>
        <w:t>IL</w:t>
      </w:r>
      <w:r w:rsidRPr="00537DDE">
        <w:rPr>
          <w:rFonts w:ascii="Times New Roman" w:eastAsia="Calibri" w:hAnsi="Times New Roman" w:cs="Times New Roman"/>
          <w:sz w:val="28"/>
        </w:rPr>
        <w:t xml:space="preserve">-6 выступили в роли переменных оценки фазы воспаления, тогда как </w:t>
      </w:r>
      <w:r w:rsidRPr="00537DDE">
        <w:rPr>
          <w:rFonts w:ascii="Times New Roman" w:eastAsia="Calibri" w:hAnsi="Times New Roman" w:cs="Times New Roman"/>
          <w:sz w:val="28"/>
          <w:lang w:val="en-US"/>
        </w:rPr>
        <w:t>IL</w:t>
      </w:r>
      <w:r w:rsidRPr="00537DDE">
        <w:rPr>
          <w:rFonts w:ascii="Times New Roman" w:eastAsia="Calibri" w:hAnsi="Times New Roman" w:cs="Times New Roman"/>
          <w:sz w:val="28"/>
        </w:rPr>
        <w:t xml:space="preserve">-10 и </w:t>
      </w:r>
      <w:r w:rsidRPr="00537DDE">
        <w:rPr>
          <w:rFonts w:ascii="Times New Roman" w:eastAsia="Calibri" w:hAnsi="Times New Roman" w:cs="Times New Roman"/>
          <w:sz w:val="28"/>
          <w:lang w:val="en-US"/>
        </w:rPr>
        <w:t>TNF</w:t>
      </w:r>
      <w:r w:rsidRPr="00537DDE">
        <w:rPr>
          <w:rFonts w:ascii="Times New Roman" w:eastAsia="Calibri" w:hAnsi="Times New Roman" w:cs="Times New Roman"/>
          <w:sz w:val="28"/>
        </w:rPr>
        <w:t xml:space="preserve">-α в качестве механизмов противовоспалительного медиаторного регулирования. Для определения интерлейкинов был выбран метод имунноферментного анализа с тест-системами «Вектор-Бест». Так же оценивали интерлейкиновый индекс (ИИ) с использованием математической формулы ИИ = </w:t>
      </w:r>
      <w:r w:rsidRPr="00537DDE">
        <w:rPr>
          <w:rFonts w:ascii="Times New Roman" w:eastAsia="Calibri" w:hAnsi="Times New Roman" w:cs="Times New Roman"/>
          <w:sz w:val="28"/>
          <w:lang w:val="en-US"/>
        </w:rPr>
        <w:t>IL</w:t>
      </w:r>
      <w:r w:rsidRPr="00537DDE">
        <w:rPr>
          <w:rFonts w:ascii="Times New Roman" w:eastAsia="Calibri" w:hAnsi="Times New Roman" w:cs="Times New Roman"/>
          <w:sz w:val="28"/>
        </w:rPr>
        <w:t>-6 / лимфоциты. Указанные параметры оцениваливали в период заболевания и через один календарный год после перенесенной коронавирусной инфекции. Определение содержания в плазме крови цитокинов производили методом иммуноферментного анализа на анализаторе «</w:t>
      </w:r>
      <w:r w:rsidRPr="00537DDE">
        <w:rPr>
          <w:rFonts w:ascii="Times New Roman" w:eastAsia="Calibri" w:hAnsi="Times New Roman" w:cs="Times New Roman"/>
          <w:sz w:val="28"/>
          <w:lang w:val="en-US"/>
        </w:rPr>
        <w:t>Humen</w:t>
      </w:r>
      <w:r w:rsidRPr="00537DDE">
        <w:rPr>
          <w:rFonts w:ascii="Times New Roman" w:eastAsia="Calibri" w:hAnsi="Times New Roman" w:cs="Times New Roman"/>
          <w:sz w:val="28"/>
        </w:rPr>
        <w:t xml:space="preserve">- </w:t>
      </w:r>
      <w:r w:rsidRPr="00537DDE">
        <w:rPr>
          <w:rFonts w:ascii="Times New Roman" w:eastAsia="Calibri" w:hAnsi="Times New Roman" w:cs="Times New Roman"/>
          <w:sz w:val="28"/>
          <w:lang w:val="en-US"/>
        </w:rPr>
        <w:t>Rider</w:t>
      </w:r>
      <w:r w:rsidRPr="00537DDE">
        <w:rPr>
          <w:rFonts w:ascii="Times New Roman" w:eastAsia="Calibri" w:hAnsi="Times New Roman" w:cs="Times New Roman"/>
          <w:sz w:val="28"/>
        </w:rPr>
        <w:t>» (Германия) наборами реактивов фирмы «Вектор-Бест» (РФ). Реактивы для определения интерлейкинов и ФНО-</w:t>
      </w:r>
      <w:r w:rsidRPr="00537DDE">
        <w:rPr>
          <w:rFonts w:ascii="Times New Roman" w:eastAsia="Calibri" w:hAnsi="Times New Roman" w:cs="Times New Roman"/>
          <w:sz w:val="28"/>
          <w:lang w:val="en-US"/>
        </w:rPr>
        <w:t>l</w:t>
      </w:r>
      <w:r w:rsidRPr="00537DDE">
        <w:rPr>
          <w:rFonts w:ascii="Times New Roman" w:eastAsia="Calibri" w:hAnsi="Times New Roman" w:cs="Times New Roman"/>
          <w:sz w:val="28"/>
        </w:rPr>
        <w:t xml:space="preserve">, представляют собой наборы, основным реагентом которых являются моноклональные антитела к соответствующим </w:t>
      </w:r>
      <w:r w:rsidRPr="00537DDE">
        <w:rPr>
          <w:rFonts w:ascii="Times New Roman" w:eastAsia="Calibri" w:hAnsi="Times New Roman" w:cs="Times New Roman"/>
          <w:sz w:val="28"/>
          <w:lang w:val="en-US"/>
        </w:rPr>
        <w:t>IL</w:t>
      </w:r>
      <w:r w:rsidRPr="00537DDE">
        <w:rPr>
          <w:rFonts w:ascii="Times New Roman" w:eastAsia="Calibri" w:hAnsi="Times New Roman" w:cs="Times New Roman"/>
          <w:sz w:val="28"/>
        </w:rPr>
        <w:t xml:space="preserve"> сорбированным на поверхность лунок разборного полистирольного планшета. На первой стадии анализа исследуемые и контрольные образцы инкубируются в лунках с иммобилизованными антителами. Имеющиеся в образцах </w:t>
      </w:r>
      <w:r w:rsidRPr="00537DDE">
        <w:rPr>
          <w:rFonts w:ascii="Times New Roman" w:eastAsia="Calibri" w:hAnsi="Times New Roman" w:cs="Times New Roman"/>
          <w:sz w:val="28"/>
          <w:lang w:val="en-US"/>
        </w:rPr>
        <w:t>IL</w:t>
      </w:r>
      <w:r w:rsidRPr="00537DDE">
        <w:rPr>
          <w:rFonts w:ascii="Times New Roman" w:eastAsia="Calibri" w:hAnsi="Times New Roman" w:cs="Times New Roman"/>
          <w:sz w:val="28"/>
        </w:rPr>
        <w:t xml:space="preserve"> связываются с иммобилизованными антителами, не связавшийся материал удаляется отмывкой. Связавшиеся </w:t>
      </w:r>
      <w:r w:rsidRPr="00537DDE">
        <w:rPr>
          <w:rFonts w:ascii="Times New Roman" w:eastAsia="Calibri" w:hAnsi="Times New Roman" w:cs="Times New Roman"/>
          <w:sz w:val="28"/>
          <w:lang w:val="en-US"/>
        </w:rPr>
        <w:t>IL</w:t>
      </w:r>
      <w:r w:rsidRPr="00537DDE">
        <w:rPr>
          <w:rFonts w:ascii="Times New Roman" w:eastAsia="Calibri" w:hAnsi="Times New Roman" w:cs="Times New Roman"/>
          <w:sz w:val="28"/>
        </w:rPr>
        <w:t xml:space="preserve"> взаимодействуют, при инкубации, с конъюгатом №1 (антитела к </w:t>
      </w:r>
      <w:r w:rsidRPr="00537DDE">
        <w:rPr>
          <w:rFonts w:ascii="Times New Roman" w:eastAsia="Calibri" w:hAnsi="Times New Roman" w:cs="Times New Roman"/>
          <w:sz w:val="28"/>
          <w:lang w:val="en-US"/>
        </w:rPr>
        <w:t>IL</w:t>
      </w:r>
      <w:r w:rsidRPr="00537DDE">
        <w:rPr>
          <w:rFonts w:ascii="Times New Roman" w:eastAsia="Calibri" w:hAnsi="Times New Roman" w:cs="Times New Roman"/>
          <w:sz w:val="28"/>
        </w:rPr>
        <w:t xml:space="preserve"> человека с биотином). Не связавшийся конъюгат №1 удаляется отмывкой. На третьей стадии, связавшийся конъюгат №1 взаимодействует, при инкубации, с конъюгатом №2 (стрептовидин с пероксидазой). После третьей отмывки, </w:t>
      </w:r>
      <w:r w:rsidRPr="00537DDE">
        <w:rPr>
          <w:rFonts w:ascii="Times New Roman" w:eastAsia="Calibri" w:hAnsi="Times New Roman" w:cs="Times New Roman"/>
          <w:sz w:val="28"/>
        </w:rPr>
        <w:lastRenderedPageBreak/>
        <w:t>количество связавшегося конъюгата №2 определяют цветной реакцией с использованием хромагена – тетрамины бензидина. Реакцию останавливают добавлением стоп-реагента (раствор серной кислоты) и измеряют оптическую плотность в лунках при длине волны 450нм. Интенсивность желтого окрашивания образующего цветного продукта пропорционально количеству содержания в образце соответствующего цитокина(объект – больной COVID – 19; предмет – сыворотка крови);</w:t>
      </w:r>
    </w:p>
    <w:p w:rsidR="006C725D" w:rsidRPr="006C725D" w:rsidRDefault="006C725D" w:rsidP="00454AF9">
      <w:pPr>
        <w:numPr>
          <w:ilvl w:val="0"/>
          <w:numId w:val="10"/>
        </w:numPr>
        <w:tabs>
          <w:tab w:val="left" w:pos="1276"/>
        </w:tabs>
        <w:spacing w:after="0" w:line="360" w:lineRule="auto"/>
        <w:ind w:left="0" w:firstLine="567"/>
        <w:contextualSpacing/>
        <w:jc w:val="both"/>
        <w:rPr>
          <w:rFonts w:ascii="Times New Roman" w:eastAsia="Calibri" w:hAnsi="Times New Roman" w:cs="Times New Roman"/>
          <w:sz w:val="28"/>
        </w:rPr>
      </w:pPr>
      <w:r w:rsidRPr="006C725D">
        <w:rPr>
          <w:rFonts w:ascii="Times New Roman" w:eastAsia="Calibri" w:hAnsi="Times New Roman" w:cs="Times New Roman"/>
          <w:sz w:val="28"/>
        </w:rPr>
        <w:t xml:space="preserve">Определение </w:t>
      </w:r>
      <w:r>
        <w:rPr>
          <w:rFonts w:ascii="Times New Roman" w:eastAsia="Calibri" w:hAnsi="Times New Roman" w:cs="Times New Roman"/>
          <w:sz w:val="28"/>
        </w:rPr>
        <w:t>содержания</w:t>
      </w:r>
      <w:r w:rsidRPr="006C725D">
        <w:rPr>
          <w:rFonts w:ascii="Times New Roman" w:eastAsia="Calibri" w:hAnsi="Times New Roman" w:cs="Times New Roman"/>
          <w:sz w:val="28"/>
        </w:rPr>
        <w:t xml:space="preserve"> ангиотензина II (ANG-II) и ангиотензин-превращающего фермента 2 типа (ACE2) в плазме крови определяли методом иммуноферментного анализа (ИФА) с использованием наборов реагентов "Human Angiotensin Ⅱ (ANG-Ⅱ) ELISA Kit" и "Human Angiotensin Converting Enzyme 2 (ACE2) ELISA Kit". Метод включал инкубацию исследуемых образцов с моноклональными антителами, сорбированными на полистирольных планшетах. После связывания целевых молекул ANG-II или ACE2 с антителами в образцах применяли конъюгаты (антитела с биотином и стрептовидин, связанный с пероксидазой), что обеспечивало образование ферментного комплекса. Концентрацию целевых молекул определяли по интенсивности желтого окрашивания, возникающего при взаимодействии хромогена (тетраметилбензидина) с ферментом, измеряя оптическую плотность при 450 нм. Определение проводилось в остром периоде COVID-19 и через год после заболевания, что позволило оценить изменения ангиотензиновой системы и их патофизиологическую роль при COVID-19 в условиях гипоксии. Метод обеспечил высокую точность и чувствительность, что делает его ключевым для анализа указанных биомаркеров.</w:t>
      </w:r>
    </w:p>
    <w:p w:rsidR="00537DDE" w:rsidRPr="00537DDE" w:rsidRDefault="00537DDE" w:rsidP="00454AF9">
      <w:pPr>
        <w:numPr>
          <w:ilvl w:val="0"/>
          <w:numId w:val="10"/>
        </w:numPr>
        <w:tabs>
          <w:tab w:val="left" w:pos="1134"/>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 Оксидантная система оценивалась параметрами количественного уровня гидроперекисей, диеновых кетонов и нейтральных липидом. Определение продуктов ПОЛ в плазме крови проводили методу Реадеч в модификации В.В. Говрилова и М.К. Мишкорудной (1983). Принцип метода основан на интенсивном ультрафиолетовом поглощении липидных экстрактов крови. Ход определения: к 4мл экстрагирующей смеси гептан – изо – </w:t>
      </w:r>
      <w:r w:rsidRPr="00537DDE">
        <w:rPr>
          <w:rFonts w:ascii="Times New Roman" w:eastAsia="Calibri" w:hAnsi="Times New Roman" w:cs="Times New Roman"/>
          <w:sz w:val="28"/>
        </w:rPr>
        <w:lastRenderedPageBreak/>
        <w:t xml:space="preserve">пропилового спирта, в объемном соотношении 1:1 добавляли 0,2 мл плазмы крови. Экстрагирование проводится в течении 10 минут при интенсивном периодическом встряхивании. После окончания экстрагирования добавляли 2 мл гептана, 1мл раствора хлорной кислоты с </w:t>
      </w:r>
      <w:r w:rsidRPr="00537DDE">
        <w:rPr>
          <w:rFonts w:ascii="Times New Roman" w:eastAsia="Calibri" w:hAnsi="Times New Roman" w:cs="Times New Roman"/>
          <w:sz w:val="28"/>
          <w:lang w:val="en-US"/>
        </w:rPr>
        <w:t>pH</w:t>
      </w:r>
      <w:r w:rsidRPr="00537DDE">
        <w:rPr>
          <w:rFonts w:ascii="Times New Roman" w:eastAsia="Calibri" w:hAnsi="Times New Roman" w:cs="Times New Roman"/>
          <w:sz w:val="28"/>
        </w:rPr>
        <w:t xml:space="preserve"> – 2.0, интенсивно встряхивали и после отстаивание и расслоения смеси через 20 минут отбирали гептановый слой, в котором определяли оптическую плотность на спектрофотометре «ПЭФ-300» на длинах волн: Д212-220нм – нейтральные липиды (НЛ); Д232-234нм – гидроперекислых липидов (ГПЛ); Д273-275нм  диенкетоны (ДК). В качестве контрольной пробы использовали образец, содержащий вместо плазмы 0,2 мл воды и подвергнутый всем выше перечисленным видам обработки. Расчет содержания продуктов ПОЛ производятся в относительных единицах по формуле:</w:t>
      </w:r>
    </w:p>
    <w:p w:rsidR="00537DDE" w:rsidRPr="00537DDE" w:rsidRDefault="00537DDE" w:rsidP="00454AF9">
      <w:pPr>
        <w:tabs>
          <w:tab w:val="left" w:pos="1134"/>
        </w:tabs>
        <w:spacing w:after="0" w:line="360" w:lineRule="auto"/>
        <w:ind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ΔД на 1мл плазмы = (Д220/234/275*</w:t>
      </w:r>
      <w:r w:rsidRPr="00537DDE">
        <w:rPr>
          <w:rFonts w:ascii="Times New Roman" w:eastAsia="Calibri" w:hAnsi="Times New Roman" w:cs="Times New Roman"/>
          <w:sz w:val="28"/>
          <w:lang w:val="en-US"/>
        </w:rPr>
        <w:t>V</w:t>
      </w:r>
      <w:r w:rsidRPr="00537DDE">
        <w:rPr>
          <w:rFonts w:ascii="Times New Roman" w:eastAsia="Calibri" w:hAnsi="Times New Roman" w:cs="Times New Roman"/>
          <w:sz w:val="28"/>
        </w:rPr>
        <w:t>х/</w:t>
      </w:r>
      <w:r w:rsidRPr="00537DDE">
        <w:rPr>
          <w:rFonts w:ascii="Times New Roman" w:eastAsia="Calibri" w:hAnsi="Times New Roman" w:cs="Times New Roman"/>
          <w:sz w:val="28"/>
          <w:lang w:val="en-US"/>
        </w:rPr>
        <w:t>Vn</w:t>
      </w:r>
      <w:r w:rsidRPr="00537DDE">
        <w:rPr>
          <w:rFonts w:ascii="Times New Roman" w:eastAsia="Calibri" w:hAnsi="Times New Roman" w:cs="Times New Roman"/>
          <w:sz w:val="28"/>
        </w:rPr>
        <w:t>=20*Д),</w:t>
      </w:r>
    </w:p>
    <w:p w:rsidR="00537DDE" w:rsidRPr="00537DDE" w:rsidRDefault="00537DDE" w:rsidP="00454AF9">
      <w:pPr>
        <w:tabs>
          <w:tab w:val="left" w:pos="1134"/>
        </w:tabs>
        <w:spacing w:after="0" w:line="360" w:lineRule="auto"/>
        <w:ind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Где Д – измеренное значения оптической плотности</w:t>
      </w:r>
    </w:p>
    <w:p w:rsidR="00537DDE" w:rsidRPr="00537DDE" w:rsidRDefault="00537DDE" w:rsidP="00454AF9">
      <w:pPr>
        <w:tabs>
          <w:tab w:val="left" w:pos="1134"/>
        </w:tabs>
        <w:spacing w:after="0" w:line="360" w:lineRule="auto"/>
        <w:ind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lang w:val="en-US"/>
        </w:rPr>
        <w:t>V</w:t>
      </w:r>
      <w:r w:rsidRPr="00537DDE">
        <w:rPr>
          <w:rFonts w:ascii="Times New Roman" w:eastAsia="Calibri" w:hAnsi="Times New Roman" w:cs="Times New Roman"/>
          <w:sz w:val="28"/>
        </w:rPr>
        <w:t>х = 4 мл – ионегичный объем гептанового экстракта</w:t>
      </w:r>
    </w:p>
    <w:p w:rsidR="00537DDE" w:rsidRPr="00537DDE" w:rsidRDefault="00537DDE" w:rsidP="00454AF9">
      <w:pPr>
        <w:tabs>
          <w:tab w:val="left" w:pos="1134"/>
        </w:tabs>
        <w:spacing w:after="0" w:line="360" w:lineRule="auto"/>
        <w:ind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lang w:val="en-US"/>
        </w:rPr>
        <w:t>Vn</w:t>
      </w:r>
      <w:r w:rsidRPr="00537DDE">
        <w:rPr>
          <w:rFonts w:ascii="Times New Roman" w:eastAsia="Calibri" w:hAnsi="Times New Roman" w:cs="Times New Roman"/>
          <w:sz w:val="28"/>
        </w:rPr>
        <w:t xml:space="preserve"> = 0.2 мл – обхем взятой плазмы.</w:t>
      </w:r>
    </w:p>
    <w:p w:rsidR="00537DDE" w:rsidRPr="00537DDE" w:rsidRDefault="00537DDE" w:rsidP="00454AF9">
      <w:pPr>
        <w:tabs>
          <w:tab w:val="left" w:pos="1134"/>
        </w:tabs>
        <w:spacing w:after="0" w:line="360" w:lineRule="auto"/>
        <w:ind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Измерение результатов в относительных единицах оптической плотности обусловлен тем, что расчет молярноц концентрации </w:t>
      </w:r>
      <w:r w:rsidRPr="006C725D">
        <w:rPr>
          <w:rFonts w:ascii="Times New Roman" w:eastAsia="Calibri" w:hAnsi="Times New Roman" w:cs="Times New Roman"/>
          <w:sz w:val="28"/>
        </w:rPr>
        <w:t>примис</w:t>
      </w:r>
      <w:r w:rsidRPr="00537DDE">
        <w:rPr>
          <w:rFonts w:ascii="Times New Roman" w:eastAsia="Calibri" w:hAnsi="Times New Roman" w:cs="Times New Roman"/>
          <w:sz w:val="28"/>
        </w:rPr>
        <w:t>ет для сложной смеси липидов практически не выполним. Величина окислительного индекса рассчитывается отношением ГПН к НЛ (объект – больной COVID – 19; предмет – сыворотка крови);</w:t>
      </w:r>
    </w:p>
    <w:p w:rsidR="00537DDE" w:rsidRPr="00537DDE" w:rsidRDefault="00537DDE" w:rsidP="00454AF9">
      <w:pPr>
        <w:numPr>
          <w:ilvl w:val="0"/>
          <w:numId w:val="10"/>
        </w:numPr>
        <w:tabs>
          <w:tab w:val="left" w:pos="1134"/>
        </w:tabs>
        <w:spacing w:after="0" w:line="360" w:lineRule="auto"/>
        <w:ind w:left="0" w:firstLine="567"/>
        <w:contextualSpacing/>
        <w:jc w:val="both"/>
        <w:rPr>
          <w:rFonts w:ascii="Times New Roman" w:eastAsia="Calibri" w:hAnsi="Times New Roman" w:cs="Times New Roman"/>
          <w:sz w:val="28"/>
        </w:rPr>
      </w:pPr>
      <w:r w:rsidRPr="00537DDE">
        <w:rPr>
          <w:rFonts w:ascii="Times New Roman" w:eastAsia="Calibri" w:hAnsi="Times New Roman" w:cs="Times New Roman"/>
          <w:sz w:val="28"/>
        </w:rPr>
        <w:t xml:space="preserve">Антителообразования к </w:t>
      </w:r>
      <w:r w:rsidRPr="00537DDE">
        <w:rPr>
          <w:rFonts w:ascii="Times New Roman" w:eastAsia="Calibri" w:hAnsi="Times New Roman" w:cs="Times New Roman"/>
          <w:sz w:val="28"/>
          <w:lang w:val="en-US"/>
        </w:rPr>
        <w:t>Sars</w:t>
      </w:r>
      <w:r w:rsidRPr="00537DDE">
        <w:rPr>
          <w:rFonts w:ascii="Times New Roman" w:eastAsia="Calibri" w:hAnsi="Times New Roman" w:cs="Times New Roman"/>
          <w:sz w:val="28"/>
        </w:rPr>
        <w:t>-</w:t>
      </w:r>
      <w:r w:rsidRPr="00537DDE">
        <w:rPr>
          <w:rFonts w:ascii="Times New Roman" w:eastAsia="Calibri" w:hAnsi="Times New Roman" w:cs="Times New Roman"/>
          <w:sz w:val="28"/>
          <w:lang w:val="en-US"/>
        </w:rPr>
        <w:t>CoV</w:t>
      </w:r>
      <w:r w:rsidRPr="00537DDE">
        <w:rPr>
          <w:rFonts w:ascii="Times New Roman" w:eastAsia="Calibri" w:hAnsi="Times New Roman" w:cs="Times New Roman"/>
          <w:sz w:val="28"/>
        </w:rPr>
        <w:t xml:space="preserve">-2 оценивали методом иммуноферментного анализа с тест-системами «Вектор-Бест». Определяли количественные показатели </w:t>
      </w:r>
      <w:r w:rsidRPr="00537DDE">
        <w:rPr>
          <w:rFonts w:ascii="Times New Roman" w:eastAsia="Calibri" w:hAnsi="Times New Roman" w:cs="Times New Roman"/>
          <w:sz w:val="28"/>
          <w:lang w:val="en-US"/>
        </w:rPr>
        <w:t>IgM</w:t>
      </w:r>
      <w:r w:rsidRPr="00537DDE">
        <w:rPr>
          <w:rFonts w:ascii="Times New Roman" w:eastAsia="Calibri" w:hAnsi="Times New Roman" w:cs="Times New Roman"/>
          <w:sz w:val="28"/>
        </w:rPr>
        <w:t xml:space="preserve"> и </w:t>
      </w:r>
      <w:r w:rsidRPr="00537DDE">
        <w:rPr>
          <w:rFonts w:ascii="Times New Roman" w:eastAsia="Calibri" w:hAnsi="Times New Roman" w:cs="Times New Roman"/>
          <w:sz w:val="28"/>
          <w:lang w:val="en-US"/>
        </w:rPr>
        <w:t>IgG</w:t>
      </w:r>
      <w:r w:rsidRPr="00537DDE">
        <w:rPr>
          <w:rFonts w:ascii="Times New Roman" w:eastAsia="Calibri" w:hAnsi="Times New Roman" w:cs="Times New Roman"/>
          <w:sz w:val="28"/>
        </w:rPr>
        <w:t xml:space="preserve"> к </w:t>
      </w:r>
      <w:r w:rsidRPr="00537DDE">
        <w:rPr>
          <w:rFonts w:ascii="Times New Roman" w:eastAsia="Calibri" w:hAnsi="Times New Roman" w:cs="Times New Roman"/>
          <w:sz w:val="28"/>
          <w:lang w:val="en-US"/>
        </w:rPr>
        <w:t>Sars</w:t>
      </w:r>
      <w:r w:rsidRPr="00537DDE">
        <w:rPr>
          <w:rFonts w:ascii="Times New Roman" w:eastAsia="Calibri" w:hAnsi="Times New Roman" w:cs="Times New Roman"/>
          <w:sz w:val="28"/>
        </w:rPr>
        <w:t>-</w:t>
      </w:r>
      <w:r w:rsidRPr="00537DDE">
        <w:rPr>
          <w:rFonts w:ascii="Times New Roman" w:eastAsia="Calibri" w:hAnsi="Times New Roman" w:cs="Times New Roman"/>
          <w:sz w:val="28"/>
          <w:lang w:val="en-US"/>
        </w:rPr>
        <w:t>CoV</w:t>
      </w:r>
      <w:r w:rsidRPr="00537DDE">
        <w:rPr>
          <w:rFonts w:ascii="Times New Roman" w:eastAsia="Calibri" w:hAnsi="Times New Roman" w:cs="Times New Roman"/>
          <w:sz w:val="28"/>
        </w:rPr>
        <w:t xml:space="preserve">-2 в период заболевания и полной реконвалесценции для выявления продолжительности существования специфического приобретенного иммунитета в исследуемых климатических регионах (объект – больной COVID – 19; предмет – сыворотка крови). </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Для чистоты исследования, анализы и инструментальные исследования проводились специалистами с профильным образованием «врач-лаборант», «врач-рентгенолог», «кардиолог», «врач-ультразвуковой диагностики» с </w:t>
      </w:r>
      <w:r w:rsidRPr="00537DDE">
        <w:rPr>
          <w:rFonts w:ascii="Times New Roman" w:eastAsia="Calibri" w:hAnsi="Times New Roman" w:cs="Times New Roman"/>
          <w:sz w:val="28"/>
        </w:rPr>
        <w:lastRenderedPageBreak/>
        <w:t xml:space="preserve">фиксацией результатов в исследовательской карте с печатью и подписью исполнителя. </w:t>
      </w:r>
    </w:p>
    <w:p w:rsidR="00537DDE" w:rsidRPr="00537DDE" w:rsidRDefault="00537DDE" w:rsidP="00454AF9">
      <w:pPr>
        <w:spacing w:after="0" w:line="360" w:lineRule="auto"/>
        <w:ind w:firstLine="567"/>
        <w:jc w:val="both"/>
        <w:rPr>
          <w:rFonts w:ascii="Times New Roman" w:eastAsia="Calibri" w:hAnsi="Times New Roman" w:cs="Times New Roman"/>
          <w:sz w:val="28"/>
        </w:rPr>
      </w:pPr>
      <w:r w:rsidRPr="00537DDE">
        <w:rPr>
          <w:rFonts w:ascii="Times New Roman" w:eastAsia="Calibri" w:hAnsi="Times New Roman" w:cs="Times New Roman"/>
          <w:sz w:val="28"/>
        </w:rPr>
        <w:t xml:space="preserve">Статистический анализ проводили на программном обеспечении </w:t>
      </w:r>
      <w:r w:rsidRPr="00537DDE">
        <w:rPr>
          <w:rFonts w:ascii="Times New Roman" w:eastAsia="Calibri" w:hAnsi="Times New Roman" w:cs="Times New Roman"/>
          <w:sz w:val="28"/>
          <w:lang w:val="en-US"/>
        </w:rPr>
        <w:t>SPSS</w:t>
      </w:r>
      <w:r w:rsidRPr="00537DDE">
        <w:rPr>
          <w:rFonts w:ascii="Times New Roman" w:eastAsia="Calibri" w:hAnsi="Times New Roman" w:cs="Times New Roman"/>
          <w:sz w:val="28"/>
        </w:rPr>
        <w:t xml:space="preserve"> 26.0. Для сравнительной оценки выбранных параметров выбран </w:t>
      </w:r>
      <w:r w:rsidRPr="00537DDE">
        <w:rPr>
          <w:rFonts w:ascii="Times New Roman" w:eastAsia="Calibri" w:hAnsi="Times New Roman" w:cs="Times New Roman"/>
          <w:sz w:val="28"/>
          <w:lang w:val="en-US"/>
        </w:rPr>
        <w:t>t</w:t>
      </w:r>
      <w:r w:rsidRPr="00537DDE">
        <w:rPr>
          <w:rFonts w:ascii="Times New Roman" w:eastAsia="Calibri" w:hAnsi="Times New Roman" w:cs="Times New Roman"/>
          <w:sz w:val="28"/>
        </w:rPr>
        <w:t xml:space="preserve">-критерий Стьюдента для числовых переменных и </w:t>
      </w:r>
      <w:r w:rsidRPr="00537DDE">
        <w:rPr>
          <w:rFonts w:ascii="Times New Roman" w:eastAsia="Calibri" w:hAnsi="Times New Roman" w:cs="Times New Roman"/>
          <w:sz w:val="28"/>
          <w:lang w:val="en-US"/>
        </w:rPr>
        <w:t>U</w:t>
      </w:r>
      <w:r w:rsidRPr="00537DDE">
        <w:rPr>
          <w:rFonts w:ascii="Times New Roman" w:eastAsia="Calibri" w:hAnsi="Times New Roman" w:cs="Times New Roman"/>
          <w:sz w:val="28"/>
        </w:rPr>
        <w:t>-критерий Манна-Уитни для ранговых переменных. Корреляционный анализ проводился с оценкой χ</w:t>
      </w:r>
      <w:r w:rsidRPr="00537DDE">
        <w:rPr>
          <w:rFonts w:ascii="Times New Roman" w:eastAsia="Calibri" w:hAnsi="Times New Roman" w:cs="Times New Roman"/>
          <w:sz w:val="28"/>
          <w:vertAlign w:val="superscript"/>
        </w:rPr>
        <w:t>2</w:t>
      </w:r>
      <w:r w:rsidRPr="00537DDE">
        <w:rPr>
          <w:rFonts w:ascii="Times New Roman" w:eastAsia="Calibri" w:hAnsi="Times New Roman" w:cs="Times New Roman"/>
          <w:sz w:val="28"/>
        </w:rPr>
        <w:t xml:space="preserve">-Пирсона корреляционной зависимости. Значения считались достоверными при </w:t>
      </w:r>
      <w:r w:rsidRPr="00537DDE">
        <w:rPr>
          <w:rFonts w:ascii="Times New Roman" w:eastAsia="Calibri" w:hAnsi="Times New Roman" w:cs="Times New Roman"/>
          <w:sz w:val="28"/>
          <w:lang w:val="en-US"/>
        </w:rPr>
        <w:t>p</w:t>
      </w:r>
      <w:r w:rsidRPr="00537DDE">
        <w:rPr>
          <w:rFonts w:ascii="Times New Roman" w:eastAsia="Calibri" w:hAnsi="Times New Roman" w:cs="Times New Roman"/>
          <w:sz w:val="28"/>
        </w:rPr>
        <w:t xml:space="preserve"> ≤ 0,05. </w:t>
      </w:r>
    </w:p>
    <w:p w:rsidR="00537DDE" w:rsidRDefault="00537DDE" w:rsidP="00537DDE">
      <w:pPr>
        <w:autoSpaceDE w:val="0"/>
        <w:autoSpaceDN w:val="0"/>
        <w:adjustRightInd w:val="0"/>
        <w:spacing w:after="0" w:line="360" w:lineRule="auto"/>
        <w:jc w:val="both"/>
        <w:rPr>
          <w:rFonts w:ascii="Times New Roman" w:eastAsia="Calibri" w:hAnsi="Times New Roman" w:cs="Times New Roman"/>
          <w:sz w:val="28"/>
          <w:szCs w:val="28"/>
        </w:rPr>
      </w:pPr>
    </w:p>
    <w:p w:rsidR="00A964FE" w:rsidRDefault="00A964FE" w:rsidP="00537DDE">
      <w:pPr>
        <w:autoSpaceDE w:val="0"/>
        <w:autoSpaceDN w:val="0"/>
        <w:adjustRightInd w:val="0"/>
        <w:spacing w:after="0" w:line="360" w:lineRule="auto"/>
        <w:jc w:val="both"/>
        <w:rPr>
          <w:rFonts w:ascii="Times New Roman" w:eastAsia="Calibri" w:hAnsi="Times New Roman" w:cs="Times New Roman"/>
          <w:sz w:val="28"/>
          <w:szCs w:val="28"/>
        </w:rPr>
      </w:pPr>
    </w:p>
    <w:p w:rsidR="00A964FE" w:rsidRDefault="00A964FE" w:rsidP="00537DDE">
      <w:pPr>
        <w:autoSpaceDE w:val="0"/>
        <w:autoSpaceDN w:val="0"/>
        <w:adjustRightInd w:val="0"/>
        <w:spacing w:after="0" w:line="360" w:lineRule="auto"/>
        <w:jc w:val="both"/>
        <w:rPr>
          <w:rFonts w:ascii="Times New Roman" w:eastAsia="Calibri" w:hAnsi="Times New Roman" w:cs="Times New Roman"/>
          <w:sz w:val="28"/>
          <w:szCs w:val="28"/>
        </w:rPr>
      </w:pPr>
    </w:p>
    <w:p w:rsidR="00A964FE" w:rsidRDefault="00A964FE" w:rsidP="00537DDE">
      <w:pPr>
        <w:autoSpaceDE w:val="0"/>
        <w:autoSpaceDN w:val="0"/>
        <w:adjustRightInd w:val="0"/>
        <w:spacing w:after="0" w:line="360" w:lineRule="auto"/>
        <w:jc w:val="both"/>
        <w:rPr>
          <w:rFonts w:ascii="Times New Roman" w:eastAsia="Calibri" w:hAnsi="Times New Roman" w:cs="Times New Roman"/>
          <w:sz w:val="28"/>
          <w:szCs w:val="28"/>
        </w:rPr>
      </w:pPr>
    </w:p>
    <w:p w:rsidR="00A964FE" w:rsidRDefault="00A964FE" w:rsidP="00537DDE">
      <w:pPr>
        <w:autoSpaceDE w:val="0"/>
        <w:autoSpaceDN w:val="0"/>
        <w:adjustRightInd w:val="0"/>
        <w:spacing w:after="0" w:line="360" w:lineRule="auto"/>
        <w:jc w:val="both"/>
        <w:rPr>
          <w:rFonts w:ascii="Times New Roman" w:eastAsia="Calibri" w:hAnsi="Times New Roman" w:cs="Times New Roman"/>
          <w:sz w:val="28"/>
          <w:szCs w:val="28"/>
        </w:rPr>
      </w:pPr>
    </w:p>
    <w:p w:rsidR="00A964FE" w:rsidRDefault="00A964FE" w:rsidP="00537DDE">
      <w:pPr>
        <w:autoSpaceDE w:val="0"/>
        <w:autoSpaceDN w:val="0"/>
        <w:adjustRightInd w:val="0"/>
        <w:spacing w:after="0" w:line="360" w:lineRule="auto"/>
        <w:jc w:val="both"/>
        <w:rPr>
          <w:rFonts w:ascii="Times New Roman" w:eastAsia="Calibri" w:hAnsi="Times New Roman" w:cs="Times New Roman"/>
          <w:sz w:val="28"/>
          <w:szCs w:val="28"/>
        </w:rPr>
      </w:pPr>
    </w:p>
    <w:p w:rsidR="00A964FE" w:rsidRDefault="00A964FE" w:rsidP="00537DDE">
      <w:pPr>
        <w:autoSpaceDE w:val="0"/>
        <w:autoSpaceDN w:val="0"/>
        <w:adjustRightInd w:val="0"/>
        <w:spacing w:after="0" w:line="360" w:lineRule="auto"/>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jc w:val="both"/>
        <w:rPr>
          <w:rFonts w:ascii="Times New Roman" w:eastAsia="Calibri" w:hAnsi="Times New Roman" w:cs="Times New Roman"/>
          <w:sz w:val="28"/>
          <w:szCs w:val="28"/>
        </w:rPr>
      </w:pPr>
    </w:p>
    <w:p w:rsidR="00454AF9" w:rsidRDefault="00454AF9" w:rsidP="00537DDE">
      <w:pPr>
        <w:autoSpaceDE w:val="0"/>
        <w:autoSpaceDN w:val="0"/>
        <w:adjustRightInd w:val="0"/>
        <w:spacing w:after="0" w:line="360" w:lineRule="auto"/>
        <w:jc w:val="both"/>
        <w:rPr>
          <w:rFonts w:ascii="Times New Roman" w:eastAsia="Calibri" w:hAnsi="Times New Roman" w:cs="Times New Roman"/>
          <w:sz w:val="28"/>
          <w:szCs w:val="28"/>
        </w:rPr>
      </w:pPr>
    </w:p>
    <w:p w:rsidR="00A964FE" w:rsidRDefault="00A964FE" w:rsidP="00537DDE">
      <w:pPr>
        <w:autoSpaceDE w:val="0"/>
        <w:autoSpaceDN w:val="0"/>
        <w:adjustRightInd w:val="0"/>
        <w:spacing w:after="0" w:line="360" w:lineRule="auto"/>
        <w:jc w:val="both"/>
        <w:rPr>
          <w:rFonts w:ascii="Times New Roman" w:eastAsia="Calibri" w:hAnsi="Times New Roman" w:cs="Times New Roman"/>
          <w:sz w:val="28"/>
          <w:szCs w:val="28"/>
        </w:rPr>
      </w:pPr>
    </w:p>
    <w:p w:rsidR="00A964FE" w:rsidRDefault="00A964FE" w:rsidP="00537DDE">
      <w:pPr>
        <w:autoSpaceDE w:val="0"/>
        <w:autoSpaceDN w:val="0"/>
        <w:adjustRightInd w:val="0"/>
        <w:spacing w:after="0" w:line="360" w:lineRule="auto"/>
        <w:jc w:val="both"/>
        <w:rPr>
          <w:rFonts w:ascii="Times New Roman" w:eastAsia="Calibri" w:hAnsi="Times New Roman" w:cs="Times New Roman"/>
          <w:sz w:val="28"/>
          <w:szCs w:val="28"/>
        </w:rPr>
      </w:pPr>
    </w:p>
    <w:p w:rsidR="007732E8" w:rsidRDefault="007732E8" w:rsidP="007732E8">
      <w:pPr>
        <w:spacing w:after="0" w:line="360" w:lineRule="auto"/>
        <w:jc w:val="center"/>
        <w:rPr>
          <w:rFonts w:ascii="Times New Roman" w:eastAsia="Calibri" w:hAnsi="Times New Roman" w:cs="Times New Roman"/>
          <w:b/>
          <w:sz w:val="32"/>
          <w:szCs w:val="28"/>
        </w:rPr>
      </w:pPr>
      <w:r w:rsidRPr="00454AF9">
        <w:rPr>
          <w:rFonts w:ascii="Times New Roman" w:eastAsia="Calibri" w:hAnsi="Times New Roman" w:cs="Times New Roman"/>
          <w:b/>
          <w:sz w:val="32"/>
          <w:szCs w:val="28"/>
        </w:rPr>
        <w:lastRenderedPageBreak/>
        <w:t xml:space="preserve">ГЛАВА 3. </w:t>
      </w:r>
    </w:p>
    <w:p w:rsidR="00454AF9" w:rsidRPr="00454AF9" w:rsidRDefault="00454AF9" w:rsidP="007732E8">
      <w:pPr>
        <w:spacing w:after="0" w:line="360" w:lineRule="auto"/>
        <w:jc w:val="center"/>
        <w:rPr>
          <w:rFonts w:ascii="Times New Roman" w:eastAsia="Calibri" w:hAnsi="Times New Roman" w:cs="Times New Roman"/>
          <w:b/>
          <w:sz w:val="20"/>
          <w:szCs w:val="28"/>
        </w:rPr>
      </w:pPr>
    </w:p>
    <w:p w:rsidR="00454AF9" w:rsidRPr="00454AF9" w:rsidRDefault="00454AF9" w:rsidP="007732E8">
      <w:pPr>
        <w:spacing w:after="0" w:line="360" w:lineRule="auto"/>
        <w:jc w:val="center"/>
        <w:rPr>
          <w:rFonts w:ascii="Times New Roman" w:eastAsia="Calibri" w:hAnsi="Times New Roman" w:cs="Times New Roman"/>
          <w:b/>
          <w:sz w:val="20"/>
          <w:szCs w:val="28"/>
        </w:rPr>
      </w:pPr>
    </w:p>
    <w:p w:rsidR="007732E8" w:rsidRDefault="007732E8" w:rsidP="007732E8">
      <w:pPr>
        <w:spacing w:after="0" w:line="360" w:lineRule="auto"/>
        <w:jc w:val="center"/>
        <w:rPr>
          <w:rFonts w:ascii="Times New Roman" w:eastAsia="Calibri" w:hAnsi="Times New Roman" w:cs="Times New Roman"/>
          <w:b/>
          <w:sz w:val="32"/>
          <w:szCs w:val="28"/>
        </w:rPr>
      </w:pPr>
      <w:r w:rsidRPr="00454AF9">
        <w:rPr>
          <w:rFonts w:ascii="Times New Roman" w:eastAsia="Calibri" w:hAnsi="Times New Roman" w:cs="Times New Roman"/>
          <w:b/>
          <w:sz w:val="32"/>
          <w:szCs w:val="28"/>
        </w:rPr>
        <w:t>РЕЗУЛЬТАТЫ СОБСТВЕННЫХ ИССЛЕДОВАНИЙ</w:t>
      </w:r>
      <w:r w:rsidR="00454AF9">
        <w:rPr>
          <w:rFonts w:ascii="Times New Roman" w:eastAsia="Calibri" w:hAnsi="Times New Roman" w:cs="Times New Roman"/>
          <w:b/>
          <w:sz w:val="32"/>
          <w:szCs w:val="28"/>
        </w:rPr>
        <w:t xml:space="preserve">                                  </w:t>
      </w:r>
      <w:r w:rsidRPr="00454AF9">
        <w:rPr>
          <w:rFonts w:ascii="Times New Roman" w:eastAsia="Calibri" w:hAnsi="Times New Roman" w:cs="Times New Roman"/>
          <w:b/>
          <w:sz w:val="32"/>
          <w:szCs w:val="28"/>
        </w:rPr>
        <w:t>И ИХ ОБСУЖДЕНИЕ.</w:t>
      </w:r>
    </w:p>
    <w:p w:rsidR="00454AF9" w:rsidRPr="00454AF9" w:rsidRDefault="00454AF9" w:rsidP="007732E8">
      <w:pPr>
        <w:spacing w:after="0" w:line="360" w:lineRule="auto"/>
        <w:jc w:val="center"/>
        <w:rPr>
          <w:rFonts w:ascii="Times New Roman" w:eastAsia="Calibri" w:hAnsi="Times New Roman" w:cs="Times New Roman"/>
          <w:b/>
          <w:sz w:val="32"/>
          <w:szCs w:val="28"/>
        </w:rPr>
      </w:pPr>
    </w:p>
    <w:p w:rsidR="007732E8" w:rsidRDefault="007732E8" w:rsidP="00454AF9">
      <w:pPr>
        <w:spacing w:after="0" w:line="336" w:lineRule="auto"/>
        <w:ind w:firstLine="567"/>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Нами были изучены эпидемиологические, патогенетические, клинические особенности течения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 xml:space="preserve">-19 в условиях низко-, средне- и высокогорья. </w:t>
      </w:r>
    </w:p>
    <w:p w:rsidR="00454AF9" w:rsidRPr="00454AF9" w:rsidRDefault="00454AF9" w:rsidP="00454AF9">
      <w:pPr>
        <w:spacing w:after="0" w:line="336" w:lineRule="auto"/>
        <w:ind w:firstLine="567"/>
        <w:jc w:val="both"/>
        <w:rPr>
          <w:rFonts w:ascii="Times New Roman" w:eastAsia="Calibri" w:hAnsi="Times New Roman" w:cs="Times New Roman"/>
          <w:sz w:val="14"/>
          <w:szCs w:val="28"/>
        </w:rPr>
      </w:pPr>
    </w:p>
    <w:p w:rsidR="007732E8" w:rsidRPr="007732E8" w:rsidRDefault="007732E8" w:rsidP="00454AF9">
      <w:pPr>
        <w:spacing w:after="0" w:line="336" w:lineRule="auto"/>
        <w:ind w:firstLine="567"/>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3.1. Эпидемиологические особенности </w:t>
      </w:r>
      <w:r w:rsidRPr="007732E8">
        <w:rPr>
          <w:rFonts w:ascii="Times New Roman" w:eastAsia="Calibri" w:hAnsi="Times New Roman" w:cs="Times New Roman"/>
          <w:b/>
          <w:sz w:val="28"/>
          <w:szCs w:val="28"/>
          <w:lang w:val="en-US"/>
        </w:rPr>
        <w:t>COVID</w:t>
      </w:r>
      <w:r w:rsidRPr="007732E8">
        <w:rPr>
          <w:rFonts w:ascii="Times New Roman" w:eastAsia="Calibri" w:hAnsi="Times New Roman" w:cs="Times New Roman"/>
          <w:b/>
          <w:sz w:val="28"/>
          <w:szCs w:val="28"/>
        </w:rPr>
        <w:t>-19 в условиях низко-, средне-, высокогорья.</w:t>
      </w:r>
    </w:p>
    <w:p w:rsidR="007732E8" w:rsidRPr="00454AF9" w:rsidRDefault="007732E8" w:rsidP="00454AF9">
      <w:pPr>
        <w:spacing w:after="0" w:line="336" w:lineRule="auto"/>
        <w:ind w:firstLine="567"/>
        <w:jc w:val="both"/>
        <w:rPr>
          <w:rFonts w:ascii="Times New Roman" w:eastAsia="Calibri" w:hAnsi="Times New Roman" w:cs="Times New Roman"/>
          <w:spacing w:val="-6"/>
          <w:sz w:val="28"/>
          <w:szCs w:val="28"/>
        </w:rPr>
      </w:pPr>
      <w:r w:rsidRPr="00454AF9">
        <w:rPr>
          <w:rFonts w:ascii="Times New Roman" w:eastAsia="Calibri" w:hAnsi="Times New Roman" w:cs="Times New Roman"/>
          <w:spacing w:val="-6"/>
          <w:sz w:val="28"/>
          <w:szCs w:val="28"/>
        </w:rPr>
        <w:t xml:space="preserve">Нами были изучены аспекты касающиеся эпидемиологической картины развития </w:t>
      </w:r>
      <w:r w:rsidRPr="00454AF9">
        <w:rPr>
          <w:rFonts w:ascii="Times New Roman" w:eastAsia="Calibri" w:hAnsi="Times New Roman" w:cs="Times New Roman"/>
          <w:spacing w:val="-6"/>
          <w:sz w:val="28"/>
          <w:szCs w:val="28"/>
          <w:lang w:val="en-US"/>
        </w:rPr>
        <w:t>COVID</w:t>
      </w:r>
      <w:r w:rsidRPr="00454AF9">
        <w:rPr>
          <w:rFonts w:ascii="Times New Roman" w:eastAsia="Calibri" w:hAnsi="Times New Roman" w:cs="Times New Roman"/>
          <w:spacing w:val="-6"/>
          <w:sz w:val="28"/>
          <w:szCs w:val="28"/>
        </w:rPr>
        <w:t xml:space="preserve">-19 в интересующих регионах. Так за период пандемии до момента написания диссертации в Кыргызской Республике было зарегистрировано 200933 случая с 2991 летальными эпизодами. Коэффициент летальности от </w:t>
      </w:r>
      <w:r w:rsidRPr="00454AF9">
        <w:rPr>
          <w:rFonts w:ascii="Times New Roman" w:eastAsia="Calibri" w:hAnsi="Times New Roman" w:cs="Times New Roman"/>
          <w:spacing w:val="-6"/>
          <w:sz w:val="28"/>
          <w:szCs w:val="28"/>
          <w:lang w:val="en-US"/>
        </w:rPr>
        <w:t>COVID</w:t>
      </w:r>
      <w:r w:rsidRPr="00454AF9">
        <w:rPr>
          <w:rFonts w:ascii="Times New Roman" w:eastAsia="Calibri" w:hAnsi="Times New Roman" w:cs="Times New Roman"/>
          <w:spacing w:val="-6"/>
          <w:sz w:val="28"/>
          <w:szCs w:val="28"/>
        </w:rPr>
        <w:t>-19 в КР составил 1.49, что сравнимо с показателями РФ и на 0.3 расчетных показателя ниже летальности Индии [43].</w:t>
      </w:r>
    </w:p>
    <w:p w:rsidR="007732E8" w:rsidRPr="00454AF9" w:rsidRDefault="007732E8" w:rsidP="00454AF9">
      <w:pPr>
        <w:spacing w:after="0" w:line="336" w:lineRule="auto"/>
        <w:ind w:firstLine="567"/>
        <w:jc w:val="both"/>
        <w:rPr>
          <w:rFonts w:ascii="Times New Roman" w:eastAsia="Calibri" w:hAnsi="Times New Roman" w:cs="Times New Roman"/>
          <w:spacing w:val="-6"/>
          <w:sz w:val="28"/>
          <w:szCs w:val="28"/>
        </w:rPr>
      </w:pPr>
      <w:r w:rsidRPr="00454AF9">
        <w:rPr>
          <w:rFonts w:ascii="Times New Roman" w:eastAsia="Calibri" w:hAnsi="Times New Roman" w:cs="Times New Roman"/>
          <w:spacing w:val="-6"/>
          <w:sz w:val="28"/>
          <w:szCs w:val="28"/>
        </w:rPr>
        <w:t xml:space="preserve">Интенсивный показатель по инфицированности населения составил 285.5 человек на 10000 населения КР. Доля смертности населения за весь период пандемии в КР составила 0.42 на 1000 человек. </w:t>
      </w:r>
    </w:p>
    <w:p w:rsidR="007732E8" w:rsidRPr="00454AF9" w:rsidRDefault="007732E8" w:rsidP="00454AF9">
      <w:pPr>
        <w:spacing w:after="0" w:line="336" w:lineRule="auto"/>
        <w:ind w:firstLine="567"/>
        <w:jc w:val="both"/>
        <w:rPr>
          <w:rFonts w:ascii="Times New Roman" w:eastAsia="Calibri" w:hAnsi="Times New Roman" w:cs="Times New Roman"/>
          <w:spacing w:val="-6"/>
          <w:sz w:val="28"/>
          <w:szCs w:val="28"/>
        </w:rPr>
      </w:pPr>
      <w:r w:rsidRPr="00454AF9">
        <w:rPr>
          <w:rFonts w:ascii="Times New Roman" w:eastAsia="Calibri" w:hAnsi="Times New Roman" w:cs="Times New Roman"/>
          <w:spacing w:val="-6"/>
          <w:sz w:val="28"/>
          <w:szCs w:val="28"/>
        </w:rPr>
        <w:t xml:space="preserve">Данные по климатогеографическим регионам, данные расходятся, так в низкогорье (г.Бишкек) при условии: концентрации больниц республиканского значения, высокой плотности населения и внутренней миграции, коэффициент летальности составил 1.75, тогда как высокогорье при относительной низкой плотности населения, летальность составила 2.05. Летальность в среднегорном регионе составила 1.54. Таким образом, эпидемиологический показатель летальности от </w:t>
      </w:r>
      <w:r w:rsidRPr="00454AF9">
        <w:rPr>
          <w:rFonts w:ascii="Times New Roman" w:eastAsia="Calibri" w:hAnsi="Times New Roman" w:cs="Times New Roman"/>
          <w:spacing w:val="-6"/>
          <w:sz w:val="28"/>
          <w:szCs w:val="28"/>
          <w:lang w:val="en-US"/>
        </w:rPr>
        <w:t>COVID</w:t>
      </w:r>
      <w:r w:rsidRPr="00454AF9">
        <w:rPr>
          <w:rFonts w:ascii="Times New Roman" w:eastAsia="Calibri" w:hAnsi="Times New Roman" w:cs="Times New Roman"/>
          <w:spacing w:val="-6"/>
          <w:sz w:val="28"/>
          <w:szCs w:val="28"/>
        </w:rPr>
        <w:t>-19, достигает высокого значения в высокогорном регионе относительно низко- и среднегорья (табл</w:t>
      </w:r>
      <w:r w:rsidR="00454AF9">
        <w:rPr>
          <w:rFonts w:ascii="Times New Roman" w:eastAsia="Calibri" w:hAnsi="Times New Roman" w:cs="Times New Roman"/>
          <w:spacing w:val="-6"/>
          <w:sz w:val="28"/>
          <w:szCs w:val="28"/>
        </w:rPr>
        <w:t xml:space="preserve">ица </w:t>
      </w:r>
      <w:r w:rsidRPr="00454AF9">
        <w:rPr>
          <w:rFonts w:ascii="Times New Roman" w:eastAsia="Calibri" w:hAnsi="Times New Roman" w:cs="Times New Roman"/>
          <w:spacing w:val="-6"/>
          <w:sz w:val="28"/>
          <w:szCs w:val="28"/>
        </w:rPr>
        <w:t>3.1.</w:t>
      </w:r>
      <w:r w:rsidR="00454AF9">
        <w:rPr>
          <w:rFonts w:ascii="Times New Roman" w:eastAsia="Calibri" w:hAnsi="Times New Roman" w:cs="Times New Roman"/>
          <w:spacing w:val="-6"/>
          <w:sz w:val="28"/>
          <w:szCs w:val="28"/>
        </w:rPr>
        <w:t>1</w:t>
      </w:r>
      <w:r w:rsidRPr="00454AF9">
        <w:rPr>
          <w:rFonts w:ascii="Times New Roman" w:eastAsia="Calibri" w:hAnsi="Times New Roman" w:cs="Times New Roman"/>
          <w:spacing w:val="-6"/>
          <w:sz w:val="28"/>
          <w:szCs w:val="28"/>
        </w:rPr>
        <w:t xml:space="preserve">). </w:t>
      </w:r>
    </w:p>
    <w:p w:rsidR="007732E8" w:rsidRPr="007732E8" w:rsidRDefault="007732E8" w:rsidP="00454AF9">
      <w:pPr>
        <w:spacing w:after="0" w:line="336" w:lineRule="auto"/>
        <w:ind w:firstLine="567"/>
        <w:jc w:val="both"/>
        <w:rPr>
          <w:rFonts w:ascii="Times New Roman" w:eastAsia="Calibri" w:hAnsi="Times New Roman" w:cs="Times New Roman"/>
          <w:sz w:val="28"/>
          <w:szCs w:val="28"/>
        </w:rPr>
      </w:pPr>
      <w:r w:rsidRPr="00454AF9">
        <w:rPr>
          <w:rFonts w:ascii="Times New Roman" w:eastAsia="Calibri" w:hAnsi="Times New Roman" w:cs="Times New Roman"/>
          <w:spacing w:val="-6"/>
          <w:sz w:val="28"/>
          <w:szCs w:val="28"/>
        </w:rPr>
        <w:t>Изучая показатели инфицированности населения, мы обнаружили низкий уровень интенсивного показателя в высокогорном регионе 137.2 на 10000 человек, тогда как в низкогорье он составил 832.1 и 263.5 в среднегорье соответственно (табл</w:t>
      </w:r>
      <w:r w:rsidR="00454AF9">
        <w:rPr>
          <w:rFonts w:ascii="Times New Roman" w:eastAsia="Calibri" w:hAnsi="Times New Roman" w:cs="Times New Roman"/>
          <w:spacing w:val="-6"/>
          <w:sz w:val="28"/>
          <w:szCs w:val="28"/>
        </w:rPr>
        <w:t xml:space="preserve">ица </w:t>
      </w:r>
      <w:r w:rsidRPr="00454AF9">
        <w:rPr>
          <w:rFonts w:ascii="Times New Roman" w:eastAsia="Calibri" w:hAnsi="Times New Roman" w:cs="Times New Roman"/>
          <w:spacing w:val="-6"/>
          <w:sz w:val="28"/>
          <w:szCs w:val="28"/>
        </w:rPr>
        <w:t>3.1.</w:t>
      </w:r>
      <w:r w:rsidR="00454AF9">
        <w:rPr>
          <w:rFonts w:ascii="Times New Roman" w:eastAsia="Calibri" w:hAnsi="Times New Roman" w:cs="Times New Roman"/>
          <w:spacing w:val="-6"/>
          <w:sz w:val="28"/>
          <w:szCs w:val="28"/>
        </w:rPr>
        <w:t>1</w:t>
      </w:r>
      <w:r w:rsidRPr="00454AF9">
        <w:rPr>
          <w:rFonts w:ascii="Times New Roman" w:eastAsia="Calibri" w:hAnsi="Times New Roman" w:cs="Times New Roman"/>
          <w:spacing w:val="-6"/>
          <w:sz w:val="28"/>
          <w:szCs w:val="28"/>
        </w:rPr>
        <w:t xml:space="preserve">). </w:t>
      </w:r>
      <w:r w:rsidRPr="007732E8">
        <w:rPr>
          <w:rFonts w:ascii="Times New Roman" w:eastAsia="Calibri" w:hAnsi="Times New Roman" w:cs="Times New Roman"/>
          <w:sz w:val="28"/>
          <w:szCs w:val="28"/>
        </w:rPr>
        <w:t xml:space="preserve"> </w:t>
      </w:r>
    </w:p>
    <w:p w:rsidR="007732E8" w:rsidRPr="007732E8" w:rsidRDefault="007732E8" w:rsidP="007732E8">
      <w:pPr>
        <w:spacing w:after="0" w:line="360" w:lineRule="auto"/>
        <w:rPr>
          <w:rFonts w:ascii="Times New Roman" w:eastAsia="Calibri" w:hAnsi="Times New Roman" w:cs="Times New Roman"/>
          <w:sz w:val="28"/>
          <w:szCs w:val="28"/>
        </w:rPr>
        <w:sectPr w:rsidR="007732E8" w:rsidRPr="007732E8" w:rsidSect="00454AF9">
          <w:footerReference w:type="default" r:id="rId10"/>
          <w:pgSz w:w="11906" w:h="16838"/>
          <w:pgMar w:top="1134" w:right="567" w:bottom="1134" w:left="1701" w:header="708" w:footer="708" w:gutter="0"/>
          <w:cols w:space="720"/>
          <w:titlePg/>
          <w:docGrid w:linePitch="299"/>
        </w:sectPr>
      </w:pPr>
    </w:p>
    <w:tbl>
      <w:tblPr>
        <w:tblStyle w:val="a3"/>
        <w:tblpPr w:leftFromText="180" w:rightFromText="180" w:horzAnchor="margin" w:tblpY="696"/>
        <w:tblW w:w="0" w:type="auto"/>
        <w:tblLook w:val="04A0" w:firstRow="1" w:lastRow="0" w:firstColumn="1" w:lastColumn="0" w:noHBand="0" w:noVBand="1"/>
      </w:tblPr>
      <w:tblGrid>
        <w:gridCol w:w="923"/>
        <w:gridCol w:w="2390"/>
        <w:gridCol w:w="1480"/>
        <w:gridCol w:w="2032"/>
        <w:gridCol w:w="1623"/>
        <w:gridCol w:w="2092"/>
        <w:gridCol w:w="2389"/>
        <w:gridCol w:w="1631"/>
      </w:tblGrid>
      <w:tr w:rsidR="007732E8" w:rsidRPr="007732E8" w:rsidTr="007732E8">
        <w:tc>
          <w:tcPr>
            <w:tcW w:w="923"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lastRenderedPageBreak/>
              <w:t>№</w:t>
            </w:r>
          </w:p>
        </w:tc>
        <w:tc>
          <w:tcPr>
            <w:tcW w:w="239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Регион</w:t>
            </w:r>
          </w:p>
        </w:tc>
        <w:tc>
          <w:tcPr>
            <w:tcW w:w="148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Население (тыс. чел.)</w:t>
            </w:r>
          </w:p>
        </w:tc>
        <w:tc>
          <w:tcPr>
            <w:tcW w:w="203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Инфицировано</w:t>
            </w:r>
          </w:p>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(чел.) </w:t>
            </w:r>
          </w:p>
        </w:tc>
        <w:tc>
          <w:tcPr>
            <w:tcW w:w="1623"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Летальные исходы (чел.)</w:t>
            </w:r>
          </w:p>
        </w:tc>
        <w:tc>
          <w:tcPr>
            <w:tcW w:w="209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Коэффициент летальности</w:t>
            </w:r>
          </w:p>
        </w:tc>
        <w:tc>
          <w:tcPr>
            <w:tcW w:w="238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Инфицированные на 10000 населения</w:t>
            </w:r>
          </w:p>
        </w:tc>
        <w:tc>
          <w:tcPr>
            <w:tcW w:w="163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Смертность на 1000 населения </w:t>
            </w:r>
          </w:p>
        </w:tc>
      </w:tr>
      <w:tr w:rsidR="007732E8" w:rsidRPr="007732E8" w:rsidTr="007732E8">
        <w:tc>
          <w:tcPr>
            <w:tcW w:w="923" w:type="dxa"/>
            <w:tcBorders>
              <w:top w:val="single" w:sz="4" w:space="0" w:color="auto"/>
              <w:left w:val="single" w:sz="4" w:space="0" w:color="auto"/>
              <w:bottom w:val="single" w:sz="4" w:space="0" w:color="auto"/>
              <w:right w:val="single" w:sz="4" w:space="0" w:color="auto"/>
            </w:tcBorders>
          </w:tcPr>
          <w:p w:rsidR="007732E8" w:rsidRPr="007732E8" w:rsidRDefault="007732E8" w:rsidP="007732E8">
            <w:pPr>
              <w:numPr>
                <w:ilvl w:val="0"/>
                <w:numId w:val="12"/>
              </w:numPr>
              <w:spacing w:line="360" w:lineRule="auto"/>
              <w:contextualSpacing/>
              <w:jc w:val="both"/>
              <w:rPr>
                <w:rFonts w:ascii="Times New Roman" w:hAnsi="Times New Roman"/>
                <w:sz w:val="28"/>
                <w:szCs w:val="28"/>
              </w:rPr>
            </w:pPr>
          </w:p>
        </w:tc>
        <w:tc>
          <w:tcPr>
            <w:tcW w:w="239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г.Бишкек </w:t>
            </w:r>
          </w:p>
        </w:tc>
        <w:tc>
          <w:tcPr>
            <w:tcW w:w="148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1145</w:t>
            </w:r>
          </w:p>
        </w:tc>
        <w:tc>
          <w:tcPr>
            <w:tcW w:w="203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95281</w:t>
            </w:r>
          </w:p>
        </w:tc>
        <w:tc>
          <w:tcPr>
            <w:tcW w:w="1623"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1670</w:t>
            </w:r>
          </w:p>
        </w:tc>
        <w:tc>
          <w:tcPr>
            <w:tcW w:w="209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rPr>
              <w:t>1</w:t>
            </w:r>
            <w:r w:rsidRPr="007732E8">
              <w:rPr>
                <w:rFonts w:ascii="Times New Roman" w:hAnsi="Times New Roman"/>
                <w:sz w:val="28"/>
                <w:szCs w:val="28"/>
                <w:lang w:val="en-US"/>
              </w:rPr>
              <w:t>.75</w:t>
            </w:r>
          </w:p>
        </w:tc>
        <w:tc>
          <w:tcPr>
            <w:tcW w:w="238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832.1</w:t>
            </w:r>
          </w:p>
        </w:tc>
        <w:tc>
          <w:tcPr>
            <w:tcW w:w="163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1.4</w:t>
            </w:r>
          </w:p>
        </w:tc>
      </w:tr>
      <w:tr w:rsidR="007732E8" w:rsidRPr="007732E8" w:rsidTr="007732E8">
        <w:tc>
          <w:tcPr>
            <w:tcW w:w="923" w:type="dxa"/>
            <w:tcBorders>
              <w:top w:val="single" w:sz="4" w:space="0" w:color="auto"/>
              <w:left w:val="single" w:sz="4" w:space="0" w:color="auto"/>
              <w:bottom w:val="single" w:sz="4" w:space="0" w:color="auto"/>
              <w:right w:val="single" w:sz="4" w:space="0" w:color="auto"/>
            </w:tcBorders>
          </w:tcPr>
          <w:p w:rsidR="007732E8" w:rsidRPr="007732E8" w:rsidRDefault="007732E8" w:rsidP="007732E8">
            <w:pPr>
              <w:numPr>
                <w:ilvl w:val="0"/>
                <w:numId w:val="12"/>
              </w:numPr>
              <w:spacing w:line="360" w:lineRule="auto"/>
              <w:contextualSpacing/>
              <w:jc w:val="both"/>
              <w:rPr>
                <w:rFonts w:ascii="Times New Roman" w:hAnsi="Times New Roman"/>
                <w:sz w:val="28"/>
                <w:szCs w:val="28"/>
              </w:rPr>
            </w:pPr>
          </w:p>
        </w:tc>
        <w:tc>
          <w:tcPr>
            <w:tcW w:w="239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г.Ош</w:t>
            </w:r>
          </w:p>
        </w:tc>
        <w:tc>
          <w:tcPr>
            <w:tcW w:w="148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361.5</w:t>
            </w:r>
          </w:p>
        </w:tc>
        <w:tc>
          <w:tcPr>
            <w:tcW w:w="203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9882</w:t>
            </w:r>
          </w:p>
        </w:tc>
        <w:tc>
          <w:tcPr>
            <w:tcW w:w="1623"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86</w:t>
            </w:r>
          </w:p>
        </w:tc>
        <w:tc>
          <w:tcPr>
            <w:tcW w:w="209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0.87</w:t>
            </w:r>
          </w:p>
        </w:tc>
        <w:tc>
          <w:tcPr>
            <w:tcW w:w="238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273.4</w:t>
            </w:r>
          </w:p>
        </w:tc>
        <w:tc>
          <w:tcPr>
            <w:tcW w:w="163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0.24</w:t>
            </w:r>
          </w:p>
        </w:tc>
      </w:tr>
      <w:tr w:rsidR="007732E8" w:rsidRPr="007732E8" w:rsidTr="007732E8">
        <w:tc>
          <w:tcPr>
            <w:tcW w:w="923" w:type="dxa"/>
            <w:tcBorders>
              <w:top w:val="single" w:sz="4" w:space="0" w:color="auto"/>
              <w:left w:val="single" w:sz="4" w:space="0" w:color="auto"/>
              <w:bottom w:val="single" w:sz="4" w:space="0" w:color="auto"/>
              <w:right w:val="single" w:sz="4" w:space="0" w:color="auto"/>
            </w:tcBorders>
          </w:tcPr>
          <w:p w:rsidR="007732E8" w:rsidRPr="007732E8" w:rsidRDefault="007732E8" w:rsidP="007732E8">
            <w:pPr>
              <w:numPr>
                <w:ilvl w:val="0"/>
                <w:numId w:val="12"/>
              </w:numPr>
              <w:spacing w:line="360" w:lineRule="auto"/>
              <w:contextualSpacing/>
              <w:jc w:val="both"/>
              <w:rPr>
                <w:rFonts w:ascii="Times New Roman" w:hAnsi="Times New Roman"/>
                <w:sz w:val="28"/>
                <w:szCs w:val="28"/>
              </w:rPr>
            </w:pPr>
          </w:p>
        </w:tc>
        <w:tc>
          <w:tcPr>
            <w:tcW w:w="239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Баткенская область</w:t>
            </w:r>
          </w:p>
        </w:tc>
        <w:tc>
          <w:tcPr>
            <w:tcW w:w="148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570.4</w:t>
            </w:r>
          </w:p>
        </w:tc>
        <w:tc>
          <w:tcPr>
            <w:tcW w:w="203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12378</w:t>
            </w:r>
          </w:p>
        </w:tc>
        <w:tc>
          <w:tcPr>
            <w:tcW w:w="1623"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119</w:t>
            </w:r>
          </w:p>
        </w:tc>
        <w:tc>
          <w:tcPr>
            <w:tcW w:w="209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1.54</w:t>
            </w:r>
          </w:p>
        </w:tc>
        <w:tc>
          <w:tcPr>
            <w:tcW w:w="238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217</w:t>
            </w:r>
          </w:p>
        </w:tc>
        <w:tc>
          <w:tcPr>
            <w:tcW w:w="163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0.21</w:t>
            </w:r>
          </w:p>
        </w:tc>
      </w:tr>
      <w:tr w:rsidR="007732E8" w:rsidRPr="007732E8" w:rsidTr="007732E8">
        <w:tc>
          <w:tcPr>
            <w:tcW w:w="923" w:type="dxa"/>
            <w:tcBorders>
              <w:top w:val="single" w:sz="4" w:space="0" w:color="auto"/>
              <w:left w:val="single" w:sz="4" w:space="0" w:color="auto"/>
              <w:bottom w:val="single" w:sz="4" w:space="0" w:color="auto"/>
              <w:right w:val="single" w:sz="4" w:space="0" w:color="auto"/>
            </w:tcBorders>
          </w:tcPr>
          <w:p w:rsidR="007732E8" w:rsidRPr="007732E8" w:rsidRDefault="007732E8" w:rsidP="007732E8">
            <w:pPr>
              <w:numPr>
                <w:ilvl w:val="0"/>
                <w:numId w:val="12"/>
              </w:numPr>
              <w:spacing w:line="360" w:lineRule="auto"/>
              <w:contextualSpacing/>
              <w:jc w:val="both"/>
              <w:rPr>
                <w:rFonts w:ascii="Times New Roman" w:hAnsi="Times New Roman"/>
                <w:sz w:val="28"/>
                <w:szCs w:val="28"/>
              </w:rPr>
            </w:pPr>
          </w:p>
        </w:tc>
        <w:tc>
          <w:tcPr>
            <w:tcW w:w="239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Джалал-Абадская область </w:t>
            </w:r>
          </w:p>
        </w:tc>
        <w:tc>
          <w:tcPr>
            <w:tcW w:w="148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1311</w:t>
            </w:r>
          </w:p>
        </w:tc>
        <w:tc>
          <w:tcPr>
            <w:tcW w:w="203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16527</w:t>
            </w:r>
          </w:p>
        </w:tc>
        <w:tc>
          <w:tcPr>
            <w:tcW w:w="1623"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108</w:t>
            </w:r>
          </w:p>
        </w:tc>
        <w:tc>
          <w:tcPr>
            <w:tcW w:w="209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0.65</w:t>
            </w:r>
          </w:p>
        </w:tc>
        <w:tc>
          <w:tcPr>
            <w:tcW w:w="238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126.1</w:t>
            </w:r>
          </w:p>
        </w:tc>
        <w:tc>
          <w:tcPr>
            <w:tcW w:w="163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0.08</w:t>
            </w:r>
          </w:p>
        </w:tc>
      </w:tr>
      <w:tr w:rsidR="007732E8" w:rsidRPr="007732E8" w:rsidTr="007732E8">
        <w:tc>
          <w:tcPr>
            <w:tcW w:w="923" w:type="dxa"/>
            <w:tcBorders>
              <w:top w:val="single" w:sz="4" w:space="0" w:color="auto"/>
              <w:left w:val="single" w:sz="4" w:space="0" w:color="auto"/>
              <w:bottom w:val="single" w:sz="4" w:space="0" w:color="auto"/>
              <w:right w:val="single" w:sz="4" w:space="0" w:color="auto"/>
            </w:tcBorders>
          </w:tcPr>
          <w:p w:rsidR="007732E8" w:rsidRPr="007732E8" w:rsidRDefault="007732E8" w:rsidP="007732E8">
            <w:pPr>
              <w:numPr>
                <w:ilvl w:val="0"/>
                <w:numId w:val="12"/>
              </w:numPr>
              <w:spacing w:line="360" w:lineRule="auto"/>
              <w:contextualSpacing/>
              <w:jc w:val="both"/>
              <w:rPr>
                <w:rFonts w:ascii="Times New Roman" w:hAnsi="Times New Roman"/>
                <w:sz w:val="28"/>
                <w:szCs w:val="28"/>
              </w:rPr>
            </w:pPr>
          </w:p>
        </w:tc>
        <w:tc>
          <w:tcPr>
            <w:tcW w:w="239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Нарынская область</w:t>
            </w:r>
          </w:p>
        </w:tc>
        <w:tc>
          <w:tcPr>
            <w:tcW w:w="148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308.4</w:t>
            </w:r>
          </w:p>
        </w:tc>
        <w:tc>
          <w:tcPr>
            <w:tcW w:w="203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4231</w:t>
            </w:r>
          </w:p>
        </w:tc>
        <w:tc>
          <w:tcPr>
            <w:tcW w:w="1623"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87</w:t>
            </w:r>
          </w:p>
        </w:tc>
        <w:tc>
          <w:tcPr>
            <w:tcW w:w="209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2.05</w:t>
            </w:r>
          </w:p>
        </w:tc>
        <w:tc>
          <w:tcPr>
            <w:tcW w:w="238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137.2</w:t>
            </w:r>
          </w:p>
        </w:tc>
        <w:tc>
          <w:tcPr>
            <w:tcW w:w="163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0.28</w:t>
            </w:r>
          </w:p>
        </w:tc>
      </w:tr>
      <w:tr w:rsidR="007732E8" w:rsidRPr="007732E8" w:rsidTr="007732E8">
        <w:tc>
          <w:tcPr>
            <w:tcW w:w="923" w:type="dxa"/>
            <w:tcBorders>
              <w:top w:val="single" w:sz="4" w:space="0" w:color="auto"/>
              <w:left w:val="single" w:sz="4" w:space="0" w:color="auto"/>
              <w:bottom w:val="single" w:sz="4" w:space="0" w:color="auto"/>
              <w:right w:val="single" w:sz="4" w:space="0" w:color="auto"/>
            </w:tcBorders>
          </w:tcPr>
          <w:p w:rsidR="007732E8" w:rsidRPr="007732E8" w:rsidRDefault="007732E8" w:rsidP="007732E8">
            <w:pPr>
              <w:numPr>
                <w:ilvl w:val="0"/>
                <w:numId w:val="12"/>
              </w:numPr>
              <w:spacing w:line="360" w:lineRule="auto"/>
              <w:contextualSpacing/>
              <w:jc w:val="both"/>
              <w:rPr>
                <w:rFonts w:ascii="Times New Roman" w:hAnsi="Times New Roman"/>
                <w:sz w:val="28"/>
                <w:szCs w:val="28"/>
              </w:rPr>
            </w:pPr>
          </w:p>
        </w:tc>
        <w:tc>
          <w:tcPr>
            <w:tcW w:w="239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Ошская область</w:t>
            </w:r>
          </w:p>
        </w:tc>
        <w:tc>
          <w:tcPr>
            <w:tcW w:w="148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1460.4</w:t>
            </w:r>
          </w:p>
        </w:tc>
        <w:tc>
          <w:tcPr>
            <w:tcW w:w="203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12866</w:t>
            </w:r>
          </w:p>
        </w:tc>
        <w:tc>
          <w:tcPr>
            <w:tcW w:w="1623"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131</w:t>
            </w:r>
          </w:p>
        </w:tc>
        <w:tc>
          <w:tcPr>
            <w:tcW w:w="209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1.01</w:t>
            </w:r>
          </w:p>
        </w:tc>
        <w:tc>
          <w:tcPr>
            <w:tcW w:w="238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88.1</w:t>
            </w:r>
          </w:p>
        </w:tc>
        <w:tc>
          <w:tcPr>
            <w:tcW w:w="163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0.09</w:t>
            </w:r>
          </w:p>
        </w:tc>
      </w:tr>
      <w:tr w:rsidR="007732E8" w:rsidRPr="007732E8" w:rsidTr="007732E8">
        <w:tc>
          <w:tcPr>
            <w:tcW w:w="923" w:type="dxa"/>
            <w:tcBorders>
              <w:top w:val="single" w:sz="4" w:space="0" w:color="auto"/>
              <w:left w:val="single" w:sz="4" w:space="0" w:color="auto"/>
              <w:bottom w:val="single" w:sz="4" w:space="0" w:color="auto"/>
              <w:right w:val="single" w:sz="4" w:space="0" w:color="auto"/>
            </w:tcBorders>
          </w:tcPr>
          <w:p w:rsidR="007732E8" w:rsidRPr="007732E8" w:rsidRDefault="007732E8" w:rsidP="007732E8">
            <w:pPr>
              <w:numPr>
                <w:ilvl w:val="0"/>
                <w:numId w:val="12"/>
              </w:numPr>
              <w:spacing w:line="360" w:lineRule="auto"/>
              <w:contextualSpacing/>
              <w:jc w:val="both"/>
              <w:rPr>
                <w:rFonts w:ascii="Times New Roman" w:hAnsi="Times New Roman"/>
                <w:sz w:val="28"/>
                <w:szCs w:val="28"/>
              </w:rPr>
            </w:pPr>
          </w:p>
        </w:tc>
        <w:tc>
          <w:tcPr>
            <w:tcW w:w="239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Таласская область</w:t>
            </w:r>
          </w:p>
        </w:tc>
        <w:tc>
          <w:tcPr>
            <w:tcW w:w="148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273.5</w:t>
            </w:r>
          </w:p>
        </w:tc>
        <w:tc>
          <w:tcPr>
            <w:tcW w:w="203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4268</w:t>
            </w:r>
          </w:p>
        </w:tc>
        <w:tc>
          <w:tcPr>
            <w:tcW w:w="1623"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83</w:t>
            </w:r>
          </w:p>
        </w:tc>
        <w:tc>
          <w:tcPr>
            <w:tcW w:w="209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1.9</w:t>
            </w:r>
          </w:p>
        </w:tc>
        <w:tc>
          <w:tcPr>
            <w:tcW w:w="238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156.1</w:t>
            </w:r>
          </w:p>
        </w:tc>
        <w:tc>
          <w:tcPr>
            <w:tcW w:w="163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0.3</w:t>
            </w:r>
          </w:p>
        </w:tc>
      </w:tr>
      <w:tr w:rsidR="007732E8" w:rsidRPr="007732E8" w:rsidTr="007732E8">
        <w:tc>
          <w:tcPr>
            <w:tcW w:w="923" w:type="dxa"/>
            <w:tcBorders>
              <w:top w:val="single" w:sz="4" w:space="0" w:color="auto"/>
              <w:left w:val="single" w:sz="4" w:space="0" w:color="auto"/>
              <w:bottom w:val="single" w:sz="4" w:space="0" w:color="auto"/>
              <w:right w:val="single" w:sz="4" w:space="0" w:color="auto"/>
            </w:tcBorders>
          </w:tcPr>
          <w:p w:rsidR="007732E8" w:rsidRPr="007732E8" w:rsidRDefault="007732E8" w:rsidP="007732E8">
            <w:pPr>
              <w:numPr>
                <w:ilvl w:val="0"/>
                <w:numId w:val="12"/>
              </w:numPr>
              <w:spacing w:line="360" w:lineRule="auto"/>
              <w:contextualSpacing/>
              <w:jc w:val="both"/>
              <w:rPr>
                <w:rFonts w:ascii="Times New Roman" w:hAnsi="Times New Roman"/>
                <w:sz w:val="28"/>
                <w:szCs w:val="28"/>
              </w:rPr>
            </w:pPr>
          </w:p>
        </w:tc>
        <w:tc>
          <w:tcPr>
            <w:tcW w:w="239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Чуйская область</w:t>
            </w:r>
          </w:p>
        </w:tc>
        <w:tc>
          <w:tcPr>
            <w:tcW w:w="148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1068.7</w:t>
            </w:r>
          </w:p>
        </w:tc>
        <w:tc>
          <w:tcPr>
            <w:tcW w:w="203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31131</w:t>
            </w:r>
          </w:p>
        </w:tc>
        <w:tc>
          <w:tcPr>
            <w:tcW w:w="1623"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476</w:t>
            </w:r>
          </w:p>
        </w:tc>
        <w:tc>
          <w:tcPr>
            <w:tcW w:w="209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1.5</w:t>
            </w:r>
          </w:p>
        </w:tc>
        <w:tc>
          <w:tcPr>
            <w:tcW w:w="238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291.2</w:t>
            </w:r>
          </w:p>
        </w:tc>
        <w:tc>
          <w:tcPr>
            <w:tcW w:w="163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0.45</w:t>
            </w:r>
          </w:p>
        </w:tc>
      </w:tr>
      <w:tr w:rsidR="007732E8" w:rsidRPr="007732E8" w:rsidTr="007732E8">
        <w:tc>
          <w:tcPr>
            <w:tcW w:w="923" w:type="dxa"/>
            <w:tcBorders>
              <w:top w:val="single" w:sz="4" w:space="0" w:color="auto"/>
              <w:left w:val="single" w:sz="4" w:space="0" w:color="auto"/>
              <w:bottom w:val="single" w:sz="4" w:space="0" w:color="auto"/>
              <w:right w:val="single" w:sz="4" w:space="0" w:color="auto"/>
            </w:tcBorders>
          </w:tcPr>
          <w:p w:rsidR="007732E8" w:rsidRPr="007732E8" w:rsidRDefault="007732E8" w:rsidP="007732E8">
            <w:pPr>
              <w:numPr>
                <w:ilvl w:val="0"/>
                <w:numId w:val="12"/>
              </w:numPr>
              <w:spacing w:line="360" w:lineRule="auto"/>
              <w:contextualSpacing/>
              <w:jc w:val="both"/>
              <w:rPr>
                <w:rFonts w:ascii="Times New Roman" w:hAnsi="Times New Roman"/>
                <w:sz w:val="28"/>
                <w:szCs w:val="28"/>
              </w:rPr>
            </w:pPr>
          </w:p>
        </w:tc>
        <w:tc>
          <w:tcPr>
            <w:tcW w:w="239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Иссык- Кульская область </w:t>
            </w:r>
          </w:p>
        </w:tc>
        <w:tc>
          <w:tcPr>
            <w:tcW w:w="148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538.4</w:t>
            </w:r>
          </w:p>
        </w:tc>
        <w:tc>
          <w:tcPr>
            <w:tcW w:w="203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14187</w:t>
            </w:r>
          </w:p>
        </w:tc>
        <w:tc>
          <w:tcPr>
            <w:tcW w:w="1623"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219</w:t>
            </w:r>
          </w:p>
        </w:tc>
        <w:tc>
          <w:tcPr>
            <w:tcW w:w="209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1.54</w:t>
            </w:r>
          </w:p>
        </w:tc>
        <w:tc>
          <w:tcPr>
            <w:tcW w:w="238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263.5</w:t>
            </w:r>
          </w:p>
        </w:tc>
        <w:tc>
          <w:tcPr>
            <w:tcW w:w="163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0.41</w:t>
            </w:r>
          </w:p>
        </w:tc>
      </w:tr>
      <w:tr w:rsidR="007732E8" w:rsidRPr="007732E8" w:rsidTr="007732E8">
        <w:tc>
          <w:tcPr>
            <w:tcW w:w="923" w:type="dxa"/>
            <w:tcBorders>
              <w:top w:val="single" w:sz="4" w:space="0" w:color="auto"/>
              <w:left w:val="single" w:sz="4" w:space="0" w:color="auto"/>
              <w:bottom w:val="single" w:sz="4" w:space="0" w:color="auto"/>
              <w:right w:val="single" w:sz="4" w:space="0" w:color="auto"/>
            </w:tcBorders>
          </w:tcPr>
          <w:p w:rsidR="007732E8" w:rsidRPr="007732E8" w:rsidRDefault="007732E8" w:rsidP="007732E8">
            <w:pPr>
              <w:numPr>
                <w:ilvl w:val="0"/>
                <w:numId w:val="12"/>
              </w:numPr>
              <w:spacing w:line="360" w:lineRule="auto"/>
              <w:contextualSpacing/>
              <w:jc w:val="both"/>
              <w:rPr>
                <w:rFonts w:ascii="Times New Roman" w:hAnsi="Times New Roman"/>
                <w:sz w:val="28"/>
                <w:szCs w:val="28"/>
              </w:rPr>
            </w:pPr>
          </w:p>
        </w:tc>
        <w:tc>
          <w:tcPr>
            <w:tcW w:w="239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Всего</w:t>
            </w:r>
          </w:p>
        </w:tc>
        <w:tc>
          <w:tcPr>
            <w:tcW w:w="148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7037.6</w:t>
            </w:r>
          </w:p>
        </w:tc>
        <w:tc>
          <w:tcPr>
            <w:tcW w:w="203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200933</w:t>
            </w:r>
          </w:p>
        </w:tc>
        <w:tc>
          <w:tcPr>
            <w:tcW w:w="1623"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2991</w:t>
            </w:r>
          </w:p>
        </w:tc>
        <w:tc>
          <w:tcPr>
            <w:tcW w:w="209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1.49</w:t>
            </w:r>
          </w:p>
        </w:tc>
        <w:tc>
          <w:tcPr>
            <w:tcW w:w="238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285.5</w:t>
            </w:r>
          </w:p>
        </w:tc>
        <w:tc>
          <w:tcPr>
            <w:tcW w:w="163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0.42</w:t>
            </w:r>
          </w:p>
        </w:tc>
      </w:tr>
    </w:tbl>
    <w:p w:rsidR="007732E8" w:rsidRPr="007732E8" w:rsidRDefault="007732E8" w:rsidP="007732E8">
      <w:pPr>
        <w:spacing w:after="0" w:line="256" w:lineRule="auto"/>
        <w:rPr>
          <w:rFonts w:ascii="Times New Roman" w:eastAsia="Calibri" w:hAnsi="Times New Roman" w:cs="Times New Roman"/>
          <w:sz w:val="28"/>
          <w:szCs w:val="28"/>
        </w:rPr>
      </w:pPr>
      <w:r w:rsidRPr="007732E8">
        <w:rPr>
          <w:rFonts w:ascii="Times New Roman" w:eastAsia="Calibri" w:hAnsi="Times New Roman" w:cs="Times New Roman"/>
          <w:sz w:val="28"/>
          <w:szCs w:val="28"/>
        </w:rPr>
        <w:t>Таблица 3.1.</w:t>
      </w:r>
      <w:r w:rsidR="00454AF9">
        <w:rPr>
          <w:rFonts w:ascii="Times New Roman" w:eastAsia="Calibri" w:hAnsi="Times New Roman" w:cs="Times New Roman"/>
          <w:sz w:val="28"/>
          <w:szCs w:val="28"/>
        </w:rPr>
        <w:t xml:space="preserve">1 ‒ </w:t>
      </w:r>
      <w:r w:rsidRPr="007732E8">
        <w:rPr>
          <w:rFonts w:ascii="Times New Roman" w:eastAsia="Calibri" w:hAnsi="Times New Roman" w:cs="Times New Roman"/>
          <w:sz w:val="28"/>
          <w:szCs w:val="28"/>
        </w:rPr>
        <w:t xml:space="preserve">Эпидемиологическое распределение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 по регионам Кыргызской Республики</w:t>
      </w:r>
    </w:p>
    <w:p w:rsidR="007732E8" w:rsidRPr="007732E8" w:rsidRDefault="007732E8" w:rsidP="007732E8">
      <w:pPr>
        <w:spacing w:after="0" w:line="256" w:lineRule="auto"/>
        <w:rPr>
          <w:rFonts w:ascii="Times New Roman" w:eastAsia="Calibri" w:hAnsi="Times New Roman" w:cs="Times New Roman"/>
          <w:sz w:val="28"/>
          <w:szCs w:val="28"/>
        </w:rPr>
        <w:sectPr w:rsidR="007732E8" w:rsidRPr="007732E8" w:rsidSect="007C004C">
          <w:pgSz w:w="16838" w:h="11906" w:orient="landscape"/>
          <w:pgMar w:top="1134" w:right="567" w:bottom="1134" w:left="1701" w:header="709" w:footer="709" w:gutter="0"/>
          <w:cols w:space="720"/>
        </w:sectPr>
      </w:pPr>
    </w:p>
    <w:p w:rsidR="007732E8" w:rsidRPr="007732E8" w:rsidRDefault="00454AF9" w:rsidP="007732E8">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lastRenderedPageBreak/>
        <w:t>Для анализа эпидемиологических данных мы оценили показатели: отношение шансов влияния климатического фактора на инфицированность и летальность; относительного и атрибутивного риска в сравнении исследуемых регионов, согласно стандартам аналитического исследования в эпидемиологии</w:t>
      </w:r>
      <w:r w:rsidR="00683C2E">
        <w:rPr>
          <w:rFonts w:ascii="Times New Roman" w:eastAsia="Calibri" w:hAnsi="Times New Roman" w:cs="Times New Roman"/>
          <w:sz w:val="28"/>
          <w:szCs w:val="28"/>
        </w:rPr>
        <w:t>.</w:t>
      </w:r>
    </w:p>
    <w:p w:rsidR="00C04F24" w:rsidRPr="007732E8" w:rsidRDefault="00C04F24" w:rsidP="00C04F24">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Оценивая направления когорты высокогорья и низкогорья, нами получено левонаправленное распределение показателей, что детализирует и обосновывает эпидемиологическую ситуацию. Так, согласно данным табл</w:t>
      </w:r>
      <w:r>
        <w:rPr>
          <w:rFonts w:ascii="Times New Roman" w:eastAsia="Calibri" w:hAnsi="Times New Roman" w:cs="Times New Roman"/>
          <w:sz w:val="28"/>
          <w:szCs w:val="28"/>
        </w:rPr>
        <w:t>ицы 3.1.2</w:t>
      </w:r>
      <w:r w:rsidRPr="007732E8">
        <w:rPr>
          <w:rFonts w:ascii="Times New Roman" w:eastAsia="Calibri" w:hAnsi="Times New Roman" w:cs="Times New Roman"/>
          <w:sz w:val="28"/>
          <w:szCs w:val="28"/>
        </w:rPr>
        <w:t xml:space="preserve">, мы высчитали отношение шансов летального исхода при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 xml:space="preserve">-19 в высокогорье относительно низкогорья </w:t>
      </w:r>
      <w:r w:rsidRPr="007732E8">
        <w:rPr>
          <w:rFonts w:ascii="Times New Roman" w:eastAsia="Calibri" w:hAnsi="Times New Roman" w:cs="Times New Roman"/>
          <w:sz w:val="28"/>
          <w:szCs w:val="28"/>
          <w:lang w:val="en-US"/>
        </w:rPr>
        <w:t>OR</w:t>
      </w:r>
      <w:r w:rsidRPr="007732E8">
        <w:rPr>
          <w:rFonts w:ascii="Times New Roman" w:eastAsia="Calibri" w:hAnsi="Times New Roman" w:cs="Times New Roman"/>
          <w:sz w:val="28"/>
          <w:szCs w:val="28"/>
        </w:rPr>
        <w:t>=1.2, что свидетельствует о негативном влиянии высокогорного климатического региона как параметра окружающей среды относительно низкогорного.</w:t>
      </w:r>
    </w:p>
    <w:p w:rsidR="00454AF9" w:rsidRDefault="00454AF9" w:rsidP="003D4E8F">
      <w:pPr>
        <w:spacing w:after="0" w:line="360" w:lineRule="auto"/>
        <w:ind w:firstLine="709"/>
        <w:jc w:val="both"/>
        <w:rPr>
          <w:rFonts w:ascii="Times New Roman" w:eastAsia="Calibri" w:hAnsi="Times New Roman" w:cs="Times New Roman"/>
          <w:sz w:val="28"/>
          <w:szCs w:val="28"/>
        </w:rPr>
      </w:pPr>
    </w:p>
    <w:p w:rsidR="007732E8" w:rsidRDefault="007732E8" w:rsidP="00454AF9">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Таблица 3.</w:t>
      </w:r>
      <w:r w:rsidR="003D4E8F">
        <w:rPr>
          <w:rFonts w:ascii="Times New Roman" w:eastAsia="Calibri" w:hAnsi="Times New Roman" w:cs="Times New Roman"/>
          <w:sz w:val="28"/>
          <w:szCs w:val="28"/>
        </w:rPr>
        <w:t>1.</w:t>
      </w:r>
      <w:r w:rsidR="00454AF9">
        <w:rPr>
          <w:rFonts w:ascii="Times New Roman" w:eastAsia="Calibri" w:hAnsi="Times New Roman" w:cs="Times New Roman"/>
          <w:sz w:val="28"/>
          <w:szCs w:val="28"/>
        </w:rPr>
        <w:t>2 ‒</w:t>
      </w:r>
      <w:r w:rsidRPr="007732E8">
        <w:rPr>
          <w:rFonts w:ascii="Times New Roman" w:eastAsia="Calibri" w:hAnsi="Times New Roman" w:cs="Times New Roman"/>
          <w:sz w:val="28"/>
          <w:szCs w:val="28"/>
        </w:rPr>
        <w:t xml:space="preserve"> Оценка риска летальности в условиях высо</w:t>
      </w:r>
      <w:r w:rsidR="00454AF9">
        <w:rPr>
          <w:rFonts w:ascii="Times New Roman" w:eastAsia="Calibri" w:hAnsi="Times New Roman" w:cs="Times New Roman"/>
          <w:sz w:val="28"/>
          <w:szCs w:val="28"/>
        </w:rPr>
        <w:t>когорья относительно низкогорья</w:t>
      </w:r>
    </w:p>
    <w:p w:rsidR="00454AF9" w:rsidRPr="00454AF9" w:rsidRDefault="00454AF9" w:rsidP="00454AF9">
      <w:pPr>
        <w:spacing w:after="0" w:line="360" w:lineRule="auto"/>
        <w:jc w:val="both"/>
        <w:rPr>
          <w:rFonts w:ascii="Times New Roman" w:eastAsia="Calibri" w:hAnsi="Times New Roman" w:cs="Times New Roman"/>
          <w:sz w:val="14"/>
          <w:szCs w:val="28"/>
        </w:rPr>
      </w:pPr>
    </w:p>
    <w:tbl>
      <w:tblPr>
        <w:tblStyle w:val="a3"/>
        <w:tblW w:w="0" w:type="auto"/>
        <w:tblInd w:w="108" w:type="dxa"/>
        <w:tblLook w:val="04A0" w:firstRow="1" w:lastRow="0" w:firstColumn="1" w:lastColumn="0" w:noHBand="0" w:noVBand="1"/>
      </w:tblPr>
      <w:tblGrid>
        <w:gridCol w:w="2359"/>
        <w:gridCol w:w="2464"/>
        <w:gridCol w:w="2471"/>
        <w:gridCol w:w="2345"/>
      </w:tblGrid>
      <w:tr w:rsidR="007732E8" w:rsidRPr="007732E8" w:rsidTr="00454AF9">
        <w:tc>
          <w:tcPr>
            <w:tcW w:w="235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Параметры </w:t>
            </w:r>
          </w:p>
        </w:tc>
        <w:tc>
          <w:tcPr>
            <w:tcW w:w="246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Смертность</w:t>
            </w:r>
          </w:p>
        </w:tc>
        <w:tc>
          <w:tcPr>
            <w:tcW w:w="247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Выздоровление</w:t>
            </w:r>
          </w:p>
        </w:tc>
        <w:tc>
          <w:tcPr>
            <w:tcW w:w="234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Всего </w:t>
            </w:r>
          </w:p>
        </w:tc>
      </w:tr>
      <w:tr w:rsidR="007732E8" w:rsidRPr="007732E8" w:rsidTr="00454AF9">
        <w:tc>
          <w:tcPr>
            <w:tcW w:w="235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Высокогорье</w:t>
            </w:r>
          </w:p>
        </w:tc>
        <w:tc>
          <w:tcPr>
            <w:tcW w:w="246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87</w:t>
            </w:r>
          </w:p>
        </w:tc>
        <w:tc>
          <w:tcPr>
            <w:tcW w:w="247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4144</w:t>
            </w:r>
          </w:p>
        </w:tc>
        <w:tc>
          <w:tcPr>
            <w:tcW w:w="234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4231</w:t>
            </w:r>
          </w:p>
        </w:tc>
      </w:tr>
      <w:tr w:rsidR="007732E8" w:rsidRPr="007732E8" w:rsidTr="00454AF9">
        <w:tc>
          <w:tcPr>
            <w:tcW w:w="235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Низкогорье</w:t>
            </w:r>
          </w:p>
        </w:tc>
        <w:tc>
          <w:tcPr>
            <w:tcW w:w="246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1670</w:t>
            </w:r>
          </w:p>
        </w:tc>
        <w:tc>
          <w:tcPr>
            <w:tcW w:w="247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93611</w:t>
            </w:r>
          </w:p>
        </w:tc>
        <w:tc>
          <w:tcPr>
            <w:tcW w:w="234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95281</w:t>
            </w:r>
          </w:p>
        </w:tc>
      </w:tr>
      <w:tr w:rsidR="007732E8" w:rsidRPr="007732E8" w:rsidTr="00454AF9">
        <w:tc>
          <w:tcPr>
            <w:tcW w:w="235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Всего </w:t>
            </w:r>
          </w:p>
        </w:tc>
        <w:tc>
          <w:tcPr>
            <w:tcW w:w="246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1757</w:t>
            </w:r>
          </w:p>
        </w:tc>
        <w:tc>
          <w:tcPr>
            <w:tcW w:w="247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97755</w:t>
            </w:r>
          </w:p>
        </w:tc>
        <w:tc>
          <w:tcPr>
            <w:tcW w:w="234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99512</w:t>
            </w:r>
          </w:p>
        </w:tc>
      </w:tr>
    </w:tbl>
    <w:p w:rsidR="007732E8" w:rsidRPr="007732E8" w:rsidRDefault="007732E8" w:rsidP="007732E8">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 </w:t>
      </w:r>
    </w:p>
    <w:p w:rsidR="00C04F24" w:rsidRPr="007732E8" w:rsidRDefault="00C04F24" w:rsidP="00C04F24">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Полученные данные табл</w:t>
      </w:r>
      <w:r>
        <w:rPr>
          <w:rFonts w:ascii="Times New Roman" w:eastAsia="Calibri" w:hAnsi="Times New Roman" w:cs="Times New Roman"/>
          <w:sz w:val="28"/>
          <w:szCs w:val="28"/>
        </w:rPr>
        <w:t xml:space="preserve">ицы </w:t>
      </w:r>
      <w:r w:rsidRPr="007732E8">
        <w:rPr>
          <w:rFonts w:ascii="Times New Roman" w:eastAsia="Calibri" w:hAnsi="Times New Roman" w:cs="Times New Roman"/>
          <w:sz w:val="28"/>
          <w:szCs w:val="28"/>
        </w:rPr>
        <w:t xml:space="preserve"> 3.</w:t>
      </w:r>
      <w:r>
        <w:rPr>
          <w:rFonts w:ascii="Times New Roman" w:eastAsia="Calibri" w:hAnsi="Times New Roman" w:cs="Times New Roman"/>
          <w:sz w:val="28"/>
          <w:szCs w:val="28"/>
        </w:rPr>
        <w:t>1.</w:t>
      </w:r>
      <w:r w:rsidRPr="007732E8">
        <w:rPr>
          <w:rFonts w:ascii="Times New Roman" w:eastAsia="Calibri" w:hAnsi="Times New Roman" w:cs="Times New Roman"/>
          <w:sz w:val="28"/>
          <w:szCs w:val="28"/>
        </w:rPr>
        <w:t xml:space="preserve">3 свидетельствуют, что высокогорный фактор, по оценке </w:t>
      </w:r>
      <w:r w:rsidRPr="007732E8">
        <w:rPr>
          <w:rFonts w:ascii="Times New Roman" w:eastAsia="Calibri" w:hAnsi="Times New Roman" w:cs="Times New Roman"/>
          <w:sz w:val="28"/>
          <w:szCs w:val="28"/>
          <w:lang w:val="en-US"/>
        </w:rPr>
        <w:t>OR</w:t>
      </w:r>
      <w:r w:rsidRPr="007732E8">
        <w:rPr>
          <w:rFonts w:ascii="Times New Roman" w:eastAsia="Calibri" w:hAnsi="Times New Roman" w:cs="Times New Roman"/>
          <w:sz w:val="28"/>
          <w:szCs w:val="28"/>
        </w:rPr>
        <w:t xml:space="preserve">=1.3 что свойственно отрицательному воздействию на летальность от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 относительно среднегорного.</w:t>
      </w:r>
    </w:p>
    <w:p w:rsidR="00683C2E" w:rsidRDefault="00683C2E" w:rsidP="00683C2E">
      <w:pPr>
        <w:spacing w:after="0" w:line="360" w:lineRule="auto"/>
        <w:jc w:val="both"/>
        <w:rPr>
          <w:rFonts w:ascii="Times New Roman" w:eastAsia="Calibri" w:hAnsi="Times New Roman" w:cs="Times New Roman"/>
          <w:sz w:val="28"/>
          <w:szCs w:val="28"/>
        </w:rPr>
      </w:pPr>
    </w:p>
    <w:p w:rsidR="007732E8" w:rsidRPr="007732E8" w:rsidRDefault="007732E8" w:rsidP="00683C2E">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Таблица 3.</w:t>
      </w:r>
      <w:r w:rsidR="003D4E8F">
        <w:rPr>
          <w:rFonts w:ascii="Times New Roman" w:eastAsia="Calibri" w:hAnsi="Times New Roman" w:cs="Times New Roman"/>
          <w:sz w:val="28"/>
          <w:szCs w:val="28"/>
        </w:rPr>
        <w:t>1.</w:t>
      </w:r>
      <w:r w:rsidRPr="007732E8">
        <w:rPr>
          <w:rFonts w:ascii="Times New Roman" w:eastAsia="Calibri" w:hAnsi="Times New Roman" w:cs="Times New Roman"/>
          <w:sz w:val="28"/>
          <w:szCs w:val="28"/>
        </w:rPr>
        <w:t>3</w:t>
      </w:r>
      <w:r w:rsidR="00683C2E">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Оценка риска летальности в условиях высокогорья относительно среднегорья.</w:t>
      </w:r>
    </w:p>
    <w:tbl>
      <w:tblPr>
        <w:tblStyle w:val="a3"/>
        <w:tblW w:w="0" w:type="auto"/>
        <w:tblLook w:val="04A0" w:firstRow="1" w:lastRow="0" w:firstColumn="1" w:lastColumn="0" w:noHBand="0" w:noVBand="1"/>
      </w:tblPr>
      <w:tblGrid>
        <w:gridCol w:w="2467"/>
        <w:gridCol w:w="2464"/>
        <w:gridCol w:w="2471"/>
        <w:gridCol w:w="2345"/>
      </w:tblGrid>
      <w:tr w:rsidR="007732E8" w:rsidRPr="007732E8" w:rsidTr="00683C2E">
        <w:tc>
          <w:tcPr>
            <w:tcW w:w="246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 xml:space="preserve">Параметры </w:t>
            </w:r>
          </w:p>
        </w:tc>
        <w:tc>
          <w:tcPr>
            <w:tcW w:w="246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Смертность</w:t>
            </w:r>
          </w:p>
        </w:tc>
        <w:tc>
          <w:tcPr>
            <w:tcW w:w="247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Выздоровление</w:t>
            </w:r>
          </w:p>
        </w:tc>
        <w:tc>
          <w:tcPr>
            <w:tcW w:w="234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 xml:space="preserve">Всего </w:t>
            </w:r>
          </w:p>
        </w:tc>
      </w:tr>
      <w:tr w:rsidR="007732E8" w:rsidRPr="007732E8" w:rsidTr="00683C2E">
        <w:tc>
          <w:tcPr>
            <w:tcW w:w="246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Высокогорье</w:t>
            </w:r>
          </w:p>
        </w:tc>
        <w:tc>
          <w:tcPr>
            <w:tcW w:w="246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87</w:t>
            </w:r>
          </w:p>
        </w:tc>
        <w:tc>
          <w:tcPr>
            <w:tcW w:w="247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4144</w:t>
            </w:r>
          </w:p>
        </w:tc>
        <w:tc>
          <w:tcPr>
            <w:tcW w:w="234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4231</w:t>
            </w:r>
          </w:p>
        </w:tc>
      </w:tr>
      <w:tr w:rsidR="007732E8" w:rsidRPr="007732E8" w:rsidTr="00683C2E">
        <w:tc>
          <w:tcPr>
            <w:tcW w:w="246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Среднегорье</w:t>
            </w:r>
          </w:p>
        </w:tc>
        <w:tc>
          <w:tcPr>
            <w:tcW w:w="246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219</w:t>
            </w:r>
          </w:p>
        </w:tc>
        <w:tc>
          <w:tcPr>
            <w:tcW w:w="247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13968</w:t>
            </w:r>
          </w:p>
        </w:tc>
        <w:tc>
          <w:tcPr>
            <w:tcW w:w="234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14187</w:t>
            </w:r>
          </w:p>
        </w:tc>
      </w:tr>
      <w:tr w:rsidR="007732E8" w:rsidRPr="007732E8" w:rsidTr="00683C2E">
        <w:tc>
          <w:tcPr>
            <w:tcW w:w="246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 xml:space="preserve">Всего </w:t>
            </w:r>
          </w:p>
        </w:tc>
        <w:tc>
          <w:tcPr>
            <w:tcW w:w="246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306</w:t>
            </w:r>
          </w:p>
        </w:tc>
        <w:tc>
          <w:tcPr>
            <w:tcW w:w="247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18112</w:t>
            </w:r>
          </w:p>
        </w:tc>
        <w:tc>
          <w:tcPr>
            <w:tcW w:w="234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18418</w:t>
            </w:r>
          </w:p>
        </w:tc>
      </w:tr>
    </w:tbl>
    <w:p w:rsidR="007732E8" w:rsidRPr="007732E8" w:rsidRDefault="007732E8" w:rsidP="007732E8">
      <w:pPr>
        <w:spacing w:after="0" w:line="360" w:lineRule="auto"/>
        <w:jc w:val="both"/>
        <w:rPr>
          <w:rFonts w:ascii="Times New Roman" w:eastAsia="Calibri" w:hAnsi="Times New Roman" w:cs="Times New Roman"/>
          <w:sz w:val="28"/>
          <w:szCs w:val="28"/>
        </w:rPr>
      </w:pPr>
    </w:p>
    <w:p w:rsidR="00C04F24" w:rsidRPr="007732E8" w:rsidRDefault="00C04F24" w:rsidP="00C04F2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Результаты, приведенные в таблице </w:t>
      </w:r>
      <w:r w:rsidRPr="007732E8">
        <w:rPr>
          <w:rFonts w:ascii="Times New Roman" w:eastAsia="Calibri" w:hAnsi="Times New Roman" w:cs="Times New Roman"/>
          <w:sz w:val="28"/>
          <w:szCs w:val="28"/>
        </w:rPr>
        <w:t>3.</w:t>
      </w:r>
      <w:r>
        <w:rPr>
          <w:rFonts w:ascii="Times New Roman" w:eastAsia="Calibri" w:hAnsi="Times New Roman" w:cs="Times New Roman"/>
          <w:sz w:val="28"/>
          <w:szCs w:val="28"/>
        </w:rPr>
        <w:t>1.</w:t>
      </w:r>
      <w:r w:rsidRPr="007732E8">
        <w:rPr>
          <w:rFonts w:ascii="Times New Roman" w:eastAsia="Calibri" w:hAnsi="Times New Roman" w:cs="Times New Roman"/>
          <w:sz w:val="28"/>
          <w:szCs w:val="28"/>
        </w:rPr>
        <w:t xml:space="preserve">4. отражают, отсутствие разницы в эпидемиологических характеристиках и нейтральное влияние низко- и среднегорного фактора на летальность. Так показатель </w:t>
      </w:r>
      <w:r w:rsidRPr="007732E8">
        <w:rPr>
          <w:rFonts w:ascii="Times New Roman" w:eastAsia="Calibri" w:hAnsi="Times New Roman" w:cs="Times New Roman"/>
          <w:sz w:val="28"/>
          <w:szCs w:val="28"/>
          <w:lang w:val="en-US"/>
        </w:rPr>
        <w:t>OR</w:t>
      </w:r>
      <w:r w:rsidRPr="007732E8">
        <w:rPr>
          <w:rFonts w:ascii="Times New Roman" w:eastAsia="Calibri" w:hAnsi="Times New Roman" w:cs="Times New Roman"/>
          <w:sz w:val="28"/>
          <w:szCs w:val="28"/>
        </w:rPr>
        <w:t xml:space="preserve">=0.87, что характерно нейтральному воздействию фактора. </w:t>
      </w: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Default="007732E8" w:rsidP="007732E8">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Таблица 3.</w:t>
      </w:r>
      <w:r w:rsidR="003D4E8F">
        <w:rPr>
          <w:rFonts w:ascii="Times New Roman" w:eastAsia="Calibri" w:hAnsi="Times New Roman" w:cs="Times New Roman"/>
          <w:sz w:val="28"/>
          <w:szCs w:val="28"/>
        </w:rPr>
        <w:t>1.</w:t>
      </w:r>
      <w:r w:rsidR="004321F3">
        <w:rPr>
          <w:rFonts w:ascii="Times New Roman" w:eastAsia="Calibri" w:hAnsi="Times New Roman" w:cs="Times New Roman"/>
          <w:sz w:val="28"/>
          <w:szCs w:val="28"/>
        </w:rPr>
        <w:t xml:space="preserve">4 ‒ </w:t>
      </w:r>
      <w:r w:rsidRPr="007732E8">
        <w:rPr>
          <w:rFonts w:ascii="Times New Roman" w:eastAsia="Calibri" w:hAnsi="Times New Roman" w:cs="Times New Roman"/>
          <w:sz w:val="28"/>
          <w:szCs w:val="28"/>
        </w:rPr>
        <w:t xml:space="preserve"> Оценка риска летальности в условиях низк</w:t>
      </w:r>
      <w:r w:rsidR="004321F3">
        <w:rPr>
          <w:rFonts w:ascii="Times New Roman" w:eastAsia="Calibri" w:hAnsi="Times New Roman" w:cs="Times New Roman"/>
          <w:sz w:val="28"/>
          <w:szCs w:val="28"/>
        </w:rPr>
        <w:t>огорья относительно среднегорья</w:t>
      </w:r>
    </w:p>
    <w:p w:rsidR="004321F3" w:rsidRPr="004321F3" w:rsidRDefault="004321F3" w:rsidP="007732E8">
      <w:pPr>
        <w:spacing w:after="0" w:line="360" w:lineRule="auto"/>
        <w:jc w:val="both"/>
        <w:rPr>
          <w:rFonts w:ascii="Times New Roman" w:eastAsia="Calibri" w:hAnsi="Times New Roman" w:cs="Times New Roman"/>
          <w:sz w:val="18"/>
          <w:szCs w:val="28"/>
        </w:rPr>
      </w:pPr>
    </w:p>
    <w:tbl>
      <w:tblPr>
        <w:tblStyle w:val="a3"/>
        <w:tblW w:w="0" w:type="auto"/>
        <w:tblInd w:w="108" w:type="dxa"/>
        <w:tblLook w:val="04A0" w:firstRow="1" w:lastRow="0" w:firstColumn="1" w:lastColumn="0" w:noHBand="0" w:noVBand="1"/>
      </w:tblPr>
      <w:tblGrid>
        <w:gridCol w:w="2357"/>
        <w:gridCol w:w="2464"/>
        <w:gridCol w:w="2471"/>
        <w:gridCol w:w="2347"/>
      </w:tblGrid>
      <w:tr w:rsidR="007732E8" w:rsidRPr="007732E8" w:rsidTr="004321F3">
        <w:tc>
          <w:tcPr>
            <w:tcW w:w="235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Параметры </w:t>
            </w:r>
          </w:p>
        </w:tc>
        <w:tc>
          <w:tcPr>
            <w:tcW w:w="246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Смертность</w:t>
            </w:r>
          </w:p>
        </w:tc>
        <w:tc>
          <w:tcPr>
            <w:tcW w:w="247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Выздоровление</w:t>
            </w:r>
          </w:p>
        </w:tc>
        <w:tc>
          <w:tcPr>
            <w:tcW w:w="234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Всего </w:t>
            </w:r>
          </w:p>
        </w:tc>
      </w:tr>
      <w:tr w:rsidR="007732E8" w:rsidRPr="007732E8" w:rsidTr="004321F3">
        <w:tc>
          <w:tcPr>
            <w:tcW w:w="235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Низкогорья </w:t>
            </w:r>
          </w:p>
        </w:tc>
        <w:tc>
          <w:tcPr>
            <w:tcW w:w="246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1670</w:t>
            </w:r>
          </w:p>
        </w:tc>
        <w:tc>
          <w:tcPr>
            <w:tcW w:w="247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93611</w:t>
            </w:r>
          </w:p>
        </w:tc>
        <w:tc>
          <w:tcPr>
            <w:tcW w:w="234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95281</w:t>
            </w:r>
          </w:p>
        </w:tc>
      </w:tr>
      <w:tr w:rsidR="007732E8" w:rsidRPr="007732E8" w:rsidTr="004321F3">
        <w:tc>
          <w:tcPr>
            <w:tcW w:w="235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Среднегорье</w:t>
            </w:r>
          </w:p>
        </w:tc>
        <w:tc>
          <w:tcPr>
            <w:tcW w:w="246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219</w:t>
            </w:r>
          </w:p>
        </w:tc>
        <w:tc>
          <w:tcPr>
            <w:tcW w:w="247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13968</w:t>
            </w:r>
          </w:p>
        </w:tc>
        <w:tc>
          <w:tcPr>
            <w:tcW w:w="234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14187</w:t>
            </w:r>
          </w:p>
        </w:tc>
      </w:tr>
      <w:tr w:rsidR="007732E8" w:rsidRPr="007732E8" w:rsidTr="004321F3">
        <w:tc>
          <w:tcPr>
            <w:tcW w:w="235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Всего </w:t>
            </w:r>
          </w:p>
        </w:tc>
        <w:tc>
          <w:tcPr>
            <w:tcW w:w="246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1889</w:t>
            </w:r>
          </w:p>
        </w:tc>
        <w:tc>
          <w:tcPr>
            <w:tcW w:w="247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107579</w:t>
            </w:r>
          </w:p>
        </w:tc>
        <w:tc>
          <w:tcPr>
            <w:tcW w:w="234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109468</w:t>
            </w:r>
          </w:p>
        </w:tc>
      </w:tr>
    </w:tbl>
    <w:p w:rsidR="007732E8" w:rsidRPr="007732E8" w:rsidRDefault="007732E8" w:rsidP="007732E8">
      <w:pPr>
        <w:spacing w:after="0" w:line="360" w:lineRule="auto"/>
        <w:jc w:val="both"/>
        <w:rPr>
          <w:rFonts w:ascii="Times New Roman" w:eastAsia="Calibri" w:hAnsi="Times New Roman" w:cs="Times New Roman"/>
          <w:sz w:val="28"/>
          <w:szCs w:val="28"/>
        </w:rPr>
      </w:pPr>
    </w:p>
    <w:p w:rsidR="003D4E8F" w:rsidRDefault="00C04F24" w:rsidP="003D4E8F">
      <w:pPr>
        <w:spacing w:after="0" w:line="360" w:lineRule="auto"/>
        <w:ind w:firstLine="709"/>
        <w:jc w:val="both"/>
        <w:rPr>
          <w:rFonts w:ascii="Times New Roman" w:eastAsia="Calibri" w:hAnsi="Times New Roman" w:cs="Times New Roman"/>
          <w:sz w:val="28"/>
          <w:szCs w:val="28"/>
        </w:rPr>
      </w:pPr>
      <w:r w:rsidRPr="00C04F24">
        <w:rPr>
          <w:rFonts w:ascii="Times New Roman" w:eastAsia="Calibri" w:hAnsi="Times New Roman" w:cs="Times New Roman"/>
          <w:sz w:val="28"/>
          <w:szCs w:val="28"/>
        </w:rPr>
        <w:t>Эпидемиологические параметры риска летальности от COVID-19 в зависимости от высотности представлены в таблице 3.1.5. Согласно данным, в условиях высокогорья наблюдаются более высокие значения отношения шансов (OR), относительного риска (RR) и атрибутивного риска (RA) по сравнению с низко- и среднегорьем, что свидетельствует о возрастающем влиянии высотного фактора на вероятность летального исхода.</w:t>
      </w:r>
    </w:p>
    <w:p w:rsidR="00C04F24" w:rsidRDefault="00C04F24" w:rsidP="003D4E8F">
      <w:pPr>
        <w:spacing w:after="0" w:line="360" w:lineRule="auto"/>
        <w:ind w:firstLine="709"/>
        <w:jc w:val="both"/>
        <w:rPr>
          <w:rFonts w:ascii="Times New Roman" w:eastAsia="Calibri" w:hAnsi="Times New Roman" w:cs="Times New Roman"/>
          <w:sz w:val="28"/>
          <w:szCs w:val="28"/>
        </w:rPr>
      </w:pPr>
    </w:p>
    <w:p w:rsidR="007732E8" w:rsidRPr="007732E8" w:rsidRDefault="007732E8" w:rsidP="004321F3">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Таблица 3.</w:t>
      </w:r>
      <w:r w:rsidR="003D4E8F">
        <w:rPr>
          <w:rFonts w:ascii="Times New Roman" w:eastAsia="Calibri" w:hAnsi="Times New Roman" w:cs="Times New Roman"/>
          <w:sz w:val="28"/>
          <w:szCs w:val="28"/>
        </w:rPr>
        <w:t>1.</w:t>
      </w:r>
      <w:r w:rsidRPr="007732E8">
        <w:rPr>
          <w:rFonts w:ascii="Times New Roman" w:eastAsia="Calibri" w:hAnsi="Times New Roman" w:cs="Times New Roman"/>
          <w:sz w:val="28"/>
          <w:szCs w:val="28"/>
        </w:rPr>
        <w:t>5</w:t>
      </w:r>
      <w:r w:rsidR="004321F3">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Эпидемиологические параметры риска летальности от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 в условия</w:t>
      </w:r>
      <w:r w:rsidR="004321F3">
        <w:rPr>
          <w:rFonts w:ascii="Times New Roman" w:eastAsia="Calibri" w:hAnsi="Times New Roman" w:cs="Times New Roman"/>
          <w:sz w:val="28"/>
          <w:szCs w:val="28"/>
        </w:rPr>
        <w:t>х низко-, средне- и высокогорья</w:t>
      </w:r>
    </w:p>
    <w:tbl>
      <w:tblPr>
        <w:tblStyle w:val="a3"/>
        <w:tblW w:w="0" w:type="auto"/>
        <w:jc w:val="center"/>
        <w:tblLook w:val="04A0" w:firstRow="1" w:lastRow="0" w:firstColumn="1" w:lastColumn="0" w:noHBand="0" w:noVBand="1"/>
      </w:tblPr>
      <w:tblGrid>
        <w:gridCol w:w="2237"/>
        <w:gridCol w:w="860"/>
        <w:gridCol w:w="2113"/>
        <w:gridCol w:w="2255"/>
        <w:gridCol w:w="2389"/>
      </w:tblGrid>
      <w:tr w:rsidR="007732E8" w:rsidRPr="007732E8" w:rsidTr="007732E8">
        <w:trPr>
          <w:jc w:val="center"/>
        </w:trPr>
        <w:tc>
          <w:tcPr>
            <w:tcW w:w="3114" w:type="dxa"/>
            <w:gridSpan w:val="2"/>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Параметры</w:t>
            </w:r>
          </w:p>
        </w:tc>
        <w:tc>
          <w:tcPr>
            <w:tcW w:w="212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Низкогорье</w:t>
            </w:r>
          </w:p>
        </w:tc>
        <w:tc>
          <w:tcPr>
            <w:tcW w:w="226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Среднегорье</w:t>
            </w:r>
          </w:p>
        </w:tc>
        <w:tc>
          <w:tcPr>
            <w:tcW w:w="240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rPr>
            </w:pPr>
            <w:r w:rsidRPr="007732E8">
              <w:rPr>
                <w:rFonts w:ascii="Times New Roman" w:hAnsi="Times New Roman"/>
                <w:sz w:val="28"/>
                <w:szCs w:val="28"/>
              </w:rPr>
              <w:t>Высокогорье</w:t>
            </w:r>
          </w:p>
        </w:tc>
      </w:tr>
      <w:tr w:rsidR="007732E8" w:rsidRPr="007732E8" w:rsidTr="007732E8">
        <w:trPr>
          <w:jc w:val="center"/>
        </w:trPr>
        <w:tc>
          <w:tcPr>
            <w:tcW w:w="2248" w:type="dxa"/>
            <w:vMerge w:val="restart"/>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4321F3">
            <w:pPr>
              <w:spacing w:line="312" w:lineRule="auto"/>
              <w:jc w:val="center"/>
              <w:rPr>
                <w:rFonts w:ascii="Times New Roman" w:hAnsi="Times New Roman"/>
                <w:sz w:val="28"/>
                <w:szCs w:val="28"/>
              </w:rPr>
            </w:pPr>
            <w:r w:rsidRPr="007732E8">
              <w:rPr>
                <w:rFonts w:ascii="Times New Roman" w:hAnsi="Times New Roman"/>
                <w:sz w:val="28"/>
                <w:szCs w:val="28"/>
              </w:rPr>
              <w:t>Низкогорье</w:t>
            </w: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OR</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4321F3">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w:t>
            </w:r>
          </w:p>
        </w:tc>
        <w:tc>
          <w:tcPr>
            <w:tcW w:w="226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0.87</w:t>
            </w:r>
          </w:p>
        </w:tc>
        <w:tc>
          <w:tcPr>
            <w:tcW w:w="240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1.2</w:t>
            </w:r>
          </w:p>
        </w:tc>
      </w:tr>
      <w:tr w:rsidR="007732E8" w:rsidRPr="007732E8" w:rsidTr="007732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4321F3">
            <w:pPr>
              <w:spacing w:line="312" w:lineRule="auto"/>
              <w:rPr>
                <w:rFonts w:ascii="Times New Roman" w:hAnsi="Times New Roman"/>
                <w:sz w:val="28"/>
                <w:szCs w:val="28"/>
              </w:rPr>
            </w:pP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RR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4321F3">
            <w:pPr>
              <w:spacing w:line="312" w:lineRule="auto"/>
              <w:rPr>
                <w:rFonts w:ascii="Times New Roman" w:hAnsi="Times New Roman"/>
                <w:sz w:val="28"/>
                <w:szCs w:val="28"/>
                <w:lang w:val="en-US"/>
              </w:rPr>
            </w:pPr>
          </w:p>
        </w:tc>
        <w:tc>
          <w:tcPr>
            <w:tcW w:w="226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0.8</w:t>
            </w:r>
          </w:p>
        </w:tc>
        <w:tc>
          <w:tcPr>
            <w:tcW w:w="240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1.17</w:t>
            </w:r>
          </w:p>
        </w:tc>
      </w:tr>
      <w:tr w:rsidR="007732E8" w:rsidRPr="007732E8" w:rsidTr="007732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4321F3">
            <w:pPr>
              <w:spacing w:line="312" w:lineRule="auto"/>
              <w:rPr>
                <w:rFonts w:ascii="Times New Roman" w:hAnsi="Times New Roman"/>
                <w:sz w:val="28"/>
                <w:szCs w:val="28"/>
              </w:rPr>
            </w:pP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RA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4321F3">
            <w:pPr>
              <w:spacing w:line="312" w:lineRule="auto"/>
              <w:rPr>
                <w:rFonts w:ascii="Times New Roman" w:hAnsi="Times New Roman"/>
                <w:sz w:val="28"/>
                <w:szCs w:val="28"/>
                <w:lang w:val="en-US"/>
              </w:rPr>
            </w:pPr>
          </w:p>
        </w:tc>
        <w:tc>
          <w:tcPr>
            <w:tcW w:w="226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-0.003</w:t>
            </w:r>
          </w:p>
        </w:tc>
        <w:tc>
          <w:tcPr>
            <w:tcW w:w="240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0.003</w:t>
            </w:r>
          </w:p>
        </w:tc>
      </w:tr>
      <w:tr w:rsidR="007732E8" w:rsidRPr="007732E8" w:rsidTr="007732E8">
        <w:trPr>
          <w:jc w:val="center"/>
        </w:trPr>
        <w:tc>
          <w:tcPr>
            <w:tcW w:w="2248" w:type="dxa"/>
            <w:vMerge w:val="restart"/>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4321F3">
            <w:pPr>
              <w:spacing w:line="312" w:lineRule="auto"/>
              <w:jc w:val="center"/>
              <w:rPr>
                <w:rFonts w:ascii="Times New Roman" w:hAnsi="Times New Roman"/>
                <w:sz w:val="28"/>
                <w:szCs w:val="28"/>
              </w:rPr>
            </w:pPr>
            <w:r w:rsidRPr="007732E8">
              <w:rPr>
                <w:rFonts w:ascii="Times New Roman" w:hAnsi="Times New Roman"/>
                <w:sz w:val="28"/>
                <w:szCs w:val="28"/>
              </w:rPr>
              <w:t>Среднегорье</w:t>
            </w: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OR</w:t>
            </w:r>
          </w:p>
        </w:tc>
        <w:tc>
          <w:tcPr>
            <w:tcW w:w="212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0.87</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4321F3">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w:t>
            </w:r>
          </w:p>
        </w:tc>
        <w:tc>
          <w:tcPr>
            <w:tcW w:w="240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1.3</w:t>
            </w:r>
          </w:p>
        </w:tc>
      </w:tr>
      <w:tr w:rsidR="007732E8" w:rsidRPr="007732E8" w:rsidTr="007732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4321F3">
            <w:pPr>
              <w:spacing w:line="312" w:lineRule="auto"/>
              <w:rPr>
                <w:rFonts w:ascii="Times New Roman" w:hAnsi="Times New Roman"/>
                <w:sz w:val="28"/>
                <w:szCs w:val="28"/>
              </w:rPr>
            </w:pP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RR</w:t>
            </w:r>
          </w:p>
        </w:tc>
        <w:tc>
          <w:tcPr>
            <w:tcW w:w="212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0.8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4321F3">
            <w:pPr>
              <w:spacing w:line="312" w:lineRule="auto"/>
              <w:rPr>
                <w:rFonts w:ascii="Times New Roman" w:hAnsi="Times New Roman"/>
                <w:sz w:val="28"/>
                <w:szCs w:val="28"/>
                <w:lang w:val="en-US"/>
              </w:rPr>
            </w:pPr>
          </w:p>
        </w:tc>
        <w:tc>
          <w:tcPr>
            <w:tcW w:w="240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1.4</w:t>
            </w:r>
          </w:p>
        </w:tc>
      </w:tr>
      <w:tr w:rsidR="007732E8" w:rsidRPr="007732E8" w:rsidTr="007732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4321F3">
            <w:pPr>
              <w:spacing w:line="312" w:lineRule="auto"/>
              <w:rPr>
                <w:rFonts w:ascii="Times New Roman" w:hAnsi="Times New Roman"/>
                <w:sz w:val="28"/>
                <w:szCs w:val="28"/>
              </w:rPr>
            </w:pP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RA</w:t>
            </w:r>
          </w:p>
        </w:tc>
        <w:tc>
          <w:tcPr>
            <w:tcW w:w="212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-0.003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4321F3">
            <w:pPr>
              <w:spacing w:line="312" w:lineRule="auto"/>
              <w:rPr>
                <w:rFonts w:ascii="Times New Roman" w:hAnsi="Times New Roman"/>
                <w:sz w:val="28"/>
                <w:szCs w:val="28"/>
                <w:lang w:val="en-US"/>
              </w:rPr>
            </w:pPr>
          </w:p>
        </w:tc>
        <w:tc>
          <w:tcPr>
            <w:tcW w:w="240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0.006</w:t>
            </w:r>
          </w:p>
        </w:tc>
      </w:tr>
      <w:tr w:rsidR="007732E8" w:rsidRPr="007732E8" w:rsidTr="007732E8">
        <w:trPr>
          <w:jc w:val="center"/>
        </w:trPr>
        <w:tc>
          <w:tcPr>
            <w:tcW w:w="2248" w:type="dxa"/>
            <w:vMerge w:val="restart"/>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4321F3">
            <w:pPr>
              <w:spacing w:line="312" w:lineRule="auto"/>
              <w:jc w:val="center"/>
              <w:rPr>
                <w:rFonts w:ascii="Times New Roman" w:hAnsi="Times New Roman"/>
                <w:sz w:val="28"/>
                <w:szCs w:val="28"/>
              </w:rPr>
            </w:pPr>
            <w:r w:rsidRPr="007732E8">
              <w:rPr>
                <w:rFonts w:ascii="Times New Roman" w:hAnsi="Times New Roman"/>
                <w:sz w:val="28"/>
                <w:szCs w:val="28"/>
              </w:rPr>
              <w:t>Высокогорье</w:t>
            </w: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OR</w:t>
            </w:r>
          </w:p>
        </w:tc>
        <w:tc>
          <w:tcPr>
            <w:tcW w:w="212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1.2</w:t>
            </w:r>
          </w:p>
        </w:tc>
        <w:tc>
          <w:tcPr>
            <w:tcW w:w="226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4321F3">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1.3</w:t>
            </w:r>
          </w:p>
        </w:tc>
        <w:tc>
          <w:tcPr>
            <w:tcW w:w="2404" w:type="dxa"/>
            <w:vMerge w:val="restart"/>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4321F3">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w:t>
            </w:r>
          </w:p>
        </w:tc>
      </w:tr>
      <w:tr w:rsidR="007732E8" w:rsidRPr="007732E8" w:rsidTr="007732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7732E8">
            <w:pPr>
              <w:rPr>
                <w:rFonts w:ascii="Times New Roman" w:hAnsi="Times New Roman"/>
                <w:sz w:val="28"/>
                <w:szCs w:val="28"/>
              </w:rPr>
            </w:pP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lang w:val="en-US"/>
              </w:rPr>
            </w:pPr>
            <w:r w:rsidRPr="007732E8">
              <w:rPr>
                <w:rFonts w:ascii="Times New Roman" w:hAnsi="Times New Roman"/>
                <w:sz w:val="28"/>
                <w:szCs w:val="28"/>
                <w:lang w:val="en-US"/>
              </w:rPr>
              <w:t>RR</w:t>
            </w:r>
          </w:p>
        </w:tc>
        <w:tc>
          <w:tcPr>
            <w:tcW w:w="212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lang w:val="en-US"/>
              </w:rPr>
            </w:pPr>
            <w:r w:rsidRPr="007732E8">
              <w:rPr>
                <w:rFonts w:ascii="Times New Roman" w:hAnsi="Times New Roman"/>
                <w:sz w:val="28"/>
                <w:szCs w:val="28"/>
                <w:lang w:val="en-US"/>
              </w:rPr>
              <w:t>1.177</w:t>
            </w:r>
          </w:p>
        </w:tc>
        <w:tc>
          <w:tcPr>
            <w:tcW w:w="226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lang w:val="en-US"/>
              </w:rPr>
            </w:pPr>
            <w:r w:rsidRPr="007732E8">
              <w:rPr>
                <w:rFonts w:ascii="Times New Roman" w:hAnsi="Times New Roman"/>
                <w:sz w:val="28"/>
                <w:szCs w:val="28"/>
                <w:lang w:val="en-US"/>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7732E8">
            <w:pPr>
              <w:rPr>
                <w:rFonts w:ascii="Times New Roman" w:hAnsi="Times New Roman"/>
                <w:sz w:val="28"/>
                <w:szCs w:val="28"/>
                <w:lang w:val="en-US"/>
              </w:rPr>
            </w:pPr>
          </w:p>
        </w:tc>
      </w:tr>
      <w:tr w:rsidR="007732E8" w:rsidRPr="007732E8" w:rsidTr="007732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7732E8">
            <w:pPr>
              <w:rPr>
                <w:rFonts w:ascii="Times New Roman" w:hAnsi="Times New Roman"/>
                <w:sz w:val="28"/>
                <w:szCs w:val="28"/>
              </w:rPr>
            </w:pP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lang w:val="en-US"/>
              </w:rPr>
            </w:pPr>
            <w:r w:rsidRPr="007732E8">
              <w:rPr>
                <w:rFonts w:ascii="Times New Roman" w:hAnsi="Times New Roman"/>
                <w:sz w:val="28"/>
                <w:szCs w:val="28"/>
                <w:lang w:val="en-US"/>
              </w:rPr>
              <w:t>RA</w:t>
            </w:r>
          </w:p>
        </w:tc>
        <w:tc>
          <w:tcPr>
            <w:tcW w:w="212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lang w:val="en-US"/>
              </w:rPr>
            </w:pPr>
            <w:r w:rsidRPr="007732E8">
              <w:rPr>
                <w:rFonts w:ascii="Times New Roman" w:hAnsi="Times New Roman"/>
                <w:sz w:val="28"/>
                <w:szCs w:val="28"/>
                <w:lang w:val="en-US"/>
              </w:rPr>
              <w:t>0.003</w:t>
            </w:r>
          </w:p>
        </w:tc>
        <w:tc>
          <w:tcPr>
            <w:tcW w:w="226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lang w:val="en-US"/>
              </w:rPr>
            </w:pPr>
            <w:r w:rsidRPr="007732E8">
              <w:rPr>
                <w:rFonts w:ascii="Times New Roman" w:hAnsi="Times New Roman"/>
                <w:sz w:val="28"/>
                <w:szCs w:val="28"/>
                <w:lang w:val="en-US"/>
              </w:rPr>
              <w:t>0.006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7732E8">
            <w:pPr>
              <w:rPr>
                <w:rFonts w:ascii="Times New Roman" w:hAnsi="Times New Roman"/>
                <w:sz w:val="28"/>
                <w:szCs w:val="28"/>
                <w:lang w:val="en-US"/>
              </w:rPr>
            </w:pPr>
          </w:p>
        </w:tc>
      </w:tr>
    </w:tbl>
    <w:p w:rsidR="007732E8" w:rsidRPr="004321F3" w:rsidRDefault="007732E8" w:rsidP="007732E8">
      <w:pPr>
        <w:spacing w:after="0" w:line="360" w:lineRule="auto"/>
        <w:jc w:val="both"/>
        <w:rPr>
          <w:rFonts w:ascii="Times New Roman" w:eastAsia="Calibri" w:hAnsi="Times New Roman" w:cs="Times New Roman"/>
          <w:sz w:val="24"/>
          <w:szCs w:val="28"/>
        </w:rPr>
      </w:pPr>
      <w:r w:rsidRPr="004321F3">
        <w:rPr>
          <w:rFonts w:ascii="Times New Roman" w:eastAsia="Calibri" w:hAnsi="Times New Roman" w:cs="Times New Roman"/>
          <w:sz w:val="24"/>
          <w:szCs w:val="28"/>
        </w:rPr>
        <w:lastRenderedPageBreak/>
        <w:t>*</w:t>
      </w:r>
      <w:r w:rsidRPr="004321F3">
        <w:rPr>
          <w:rFonts w:ascii="Times New Roman" w:eastAsia="Calibri" w:hAnsi="Times New Roman" w:cs="Times New Roman"/>
          <w:sz w:val="24"/>
          <w:szCs w:val="28"/>
          <w:lang w:val="en-US"/>
        </w:rPr>
        <w:t>OR</w:t>
      </w:r>
      <w:r w:rsidRPr="004321F3">
        <w:rPr>
          <w:rFonts w:ascii="Times New Roman" w:eastAsia="Calibri" w:hAnsi="Times New Roman" w:cs="Times New Roman"/>
          <w:sz w:val="24"/>
          <w:szCs w:val="28"/>
        </w:rPr>
        <w:t xml:space="preserve">-отношение шансов влияния фактора на эпидемиологических показатель; </w:t>
      </w:r>
      <w:r w:rsidRPr="004321F3">
        <w:rPr>
          <w:rFonts w:ascii="Times New Roman" w:eastAsia="Calibri" w:hAnsi="Times New Roman" w:cs="Times New Roman"/>
          <w:sz w:val="24"/>
          <w:szCs w:val="28"/>
          <w:lang w:val="en-US"/>
        </w:rPr>
        <w:t>RR</w:t>
      </w:r>
      <w:r w:rsidRPr="004321F3">
        <w:rPr>
          <w:rFonts w:ascii="Times New Roman" w:eastAsia="Calibri" w:hAnsi="Times New Roman" w:cs="Times New Roman"/>
          <w:sz w:val="24"/>
          <w:szCs w:val="28"/>
        </w:rPr>
        <w:t xml:space="preserve">-относительный риск влияния фактора;  </w:t>
      </w:r>
      <w:r w:rsidRPr="004321F3">
        <w:rPr>
          <w:rFonts w:ascii="Times New Roman" w:eastAsia="Calibri" w:hAnsi="Times New Roman" w:cs="Times New Roman"/>
          <w:sz w:val="24"/>
          <w:szCs w:val="28"/>
          <w:lang w:val="en-US"/>
        </w:rPr>
        <w:t>RA</w:t>
      </w:r>
      <w:r w:rsidRPr="004321F3">
        <w:rPr>
          <w:rFonts w:ascii="Times New Roman" w:eastAsia="Calibri" w:hAnsi="Times New Roman" w:cs="Times New Roman"/>
          <w:sz w:val="24"/>
          <w:szCs w:val="28"/>
        </w:rPr>
        <w:t xml:space="preserve">-атрибутивный риск влияния фактора. </w:t>
      </w:r>
    </w:p>
    <w:p w:rsidR="003D4E8F" w:rsidRDefault="003D4E8F" w:rsidP="007732E8">
      <w:pPr>
        <w:spacing w:after="0" w:line="360" w:lineRule="auto"/>
        <w:jc w:val="both"/>
        <w:rPr>
          <w:rFonts w:ascii="Times New Roman" w:eastAsia="Calibri" w:hAnsi="Times New Roman" w:cs="Times New Roman"/>
          <w:sz w:val="28"/>
          <w:szCs w:val="28"/>
        </w:rPr>
      </w:pPr>
    </w:p>
    <w:p w:rsidR="007732E8" w:rsidRPr="007732E8" w:rsidRDefault="007732E8" w:rsidP="003D4E8F">
      <w:pPr>
        <w:spacing w:after="0" w:line="360" w:lineRule="auto"/>
        <w:ind w:firstLine="709"/>
        <w:jc w:val="both"/>
        <w:rPr>
          <w:rFonts w:ascii="Times New Roman" w:eastAsia="Calibri" w:hAnsi="Times New Roman" w:cs="Times New Roman"/>
          <w:sz w:val="28"/>
          <w:szCs w:val="28"/>
          <w:vertAlign w:val="subscript"/>
        </w:rPr>
      </w:pPr>
      <w:r w:rsidRPr="007732E8">
        <w:rPr>
          <w:rFonts w:ascii="Times New Roman" w:eastAsia="Calibri" w:hAnsi="Times New Roman" w:cs="Times New Roman"/>
          <w:sz w:val="28"/>
          <w:szCs w:val="28"/>
        </w:rPr>
        <w:t xml:space="preserve">Обобщая, полученные данные, достоверно можно выразить негативное влияние высокогорного фактора в соответствующем региона на летальность от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 xml:space="preserve">-19. Это доказывается показателями отношения шансов </w:t>
      </w:r>
      <w:r w:rsidRPr="007732E8">
        <w:rPr>
          <w:rFonts w:ascii="Times New Roman" w:eastAsia="Calibri" w:hAnsi="Times New Roman" w:cs="Times New Roman"/>
          <w:sz w:val="28"/>
          <w:szCs w:val="28"/>
          <w:lang w:val="en-US"/>
        </w:rPr>
        <w:t>OR</w:t>
      </w:r>
      <w:r w:rsidRPr="007732E8">
        <w:rPr>
          <w:rFonts w:ascii="Times New Roman" w:eastAsia="Calibri" w:hAnsi="Times New Roman" w:cs="Times New Roman"/>
          <w:sz w:val="28"/>
          <w:szCs w:val="28"/>
          <w:vertAlign w:val="subscript"/>
        </w:rPr>
        <w:t>в/н(в/с)</w:t>
      </w:r>
      <w:r w:rsidRPr="007732E8">
        <w:rPr>
          <w:rFonts w:ascii="Times New Roman" w:eastAsia="Calibri" w:hAnsi="Times New Roman" w:cs="Times New Roman"/>
          <w:sz w:val="28"/>
          <w:szCs w:val="28"/>
        </w:rPr>
        <w:t xml:space="preserve">=1.2(1.3), относительного риска </w:t>
      </w:r>
      <w:r w:rsidRPr="007732E8">
        <w:rPr>
          <w:rFonts w:ascii="Times New Roman" w:eastAsia="Calibri" w:hAnsi="Times New Roman" w:cs="Times New Roman"/>
          <w:sz w:val="28"/>
          <w:szCs w:val="28"/>
          <w:lang w:val="en-US"/>
        </w:rPr>
        <w:t>RR</w:t>
      </w:r>
      <w:r w:rsidRPr="007732E8">
        <w:rPr>
          <w:rFonts w:ascii="Times New Roman" w:eastAsia="Calibri" w:hAnsi="Times New Roman" w:cs="Times New Roman"/>
          <w:sz w:val="28"/>
          <w:szCs w:val="28"/>
          <w:vertAlign w:val="subscript"/>
        </w:rPr>
        <w:t>в/н(в/с)</w:t>
      </w:r>
      <w:r w:rsidRPr="007732E8">
        <w:rPr>
          <w:rFonts w:ascii="Times New Roman" w:eastAsia="Calibri" w:hAnsi="Times New Roman" w:cs="Times New Roman"/>
          <w:sz w:val="28"/>
          <w:szCs w:val="28"/>
        </w:rPr>
        <w:t xml:space="preserve">=1.17(1.4) и данные атрибутивного риска </w:t>
      </w:r>
      <w:r w:rsidRPr="007732E8">
        <w:rPr>
          <w:rFonts w:ascii="Times New Roman" w:eastAsia="Calibri" w:hAnsi="Times New Roman" w:cs="Times New Roman"/>
          <w:sz w:val="28"/>
          <w:szCs w:val="28"/>
          <w:lang w:val="en-US"/>
        </w:rPr>
        <w:t>RA</w:t>
      </w:r>
      <w:r w:rsidRPr="007732E8">
        <w:rPr>
          <w:rFonts w:ascii="Times New Roman" w:eastAsia="Calibri" w:hAnsi="Times New Roman" w:cs="Times New Roman"/>
          <w:sz w:val="28"/>
          <w:szCs w:val="28"/>
          <w:vertAlign w:val="subscript"/>
        </w:rPr>
        <w:t>в/н(в/с)</w:t>
      </w:r>
      <w:r w:rsidRPr="007732E8">
        <w:rPr>
          <w:rFonts w:ascii="Times New Roman" w:eastAsia="Calibri" w:hAnsi="Times New Roman" w:cs="Times New Roman"/>
          <w:sz w:val="28"/>
          <w:szCs w:val="28"/>
        </w:rPr>
        <w:t xml:space="preserve">=0.003(0.006). Указанные характеристики, прямо свидетельствуют о эпидемиологической значимости влияния высокогорного фактора на летальность относительно низко- и среднегорного климатогеографического региона. </w:t>
      </w: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4321F3">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Таблица 3.</w:t>
      </w:r>
      <w:r w:rsidR="003D4E8F">
        <w:rPr>
          <w:rFonts w:ascii="Times New Roman" w:eastAsia="Calibri" w:hAnsi="Times New Roman" w:cs="Times New Roman"/>
          <w:sz w:val="28"/>
          <w:szCs w:val="28"/>
        </w:rPr>
        <w:t>1.</w:t>
      </w:r>
      <w:r w:rsidRPr="007732E8">
        <w:rPr>
          <w:rFonts w:ascii="Times New Roman" w:eastAsia="Calibri" w:hAnsi="Times New Roman" w:cs="Times New Roman"/>
          <w:sz w:val="28"/>
          <w:szCs w:val="28"/>
        </w:rPr>
        <w:t>6</w:t>
      </w:r>
      <w:r w:rsidR="004321F3">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Оценка риска инфицирования в условиях высо</w:t>
      </w:r>
      <w:r w:rsidR="004321F3">
        <w:rPr>
          <w:rFonts w:ascii="Times New Roman" w:eastAsia="Calibri" w:hAnsi="Times New Roman" w:cs="Times New Roman"/>
          <w:sz w:val="28"/>
          <w:szCs w:val="28"/>
        </w:rPr>
        <w:t>когорья относительно низкогорья</w:t>
      </w:r>
    </w:p>
    <w:tbl>
      <w:tblPr>
        <w:tblStyle w:val="a3"/>
        <w:tblW w:w="0" w:type="auto"/>
        <w:tblInd w:w="108" w:type="dxa"/>
        <w:tblLook w:val="04A0" w:firstRow="1" w:lastRow="0" w:firstColumn="1" w:lastColumn="0" w:noHBand="0" w:noVBand="1"/>
      </w:tblPr>
      <w:tblGrid>
        <w:gridCol w:w="2339"/>
        <w:gridCol w:w="2550"/>
        <w:gridCol w:w="2435"/>
        <w:gridCol w:w="2315"/>
      </w:tblGrid>
      <w:tr w:rsidR="007732E8" w:rsidRPr="007732E8" w:rsidTr="004321F3">
        <w:tc>
          <w:tcPr>
            <w:tcW w:w="233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Параметры </w:t>
            </w:r>
          </w:p>
        </w:tc>
        <w:tc>
          <w:tcPr>
            <w:tcW w:w="255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Инфицированность </w:t>
            </w:r>
          </w:p>
        </w:tc>
        <w:tc>
          <w:tcPr>
            <w:tcW w:w="2435" w:type="dxa"/>
            <w:tcBorders>
              <w:top w:val="single" w:sz="4" w:space="0" w:color="auto"/>
              <w:left w:val="single" w:sz="4" w:space="0" w:color="auto"/>
              <w:bottom w:val="single" w:sz="4" w:space="0" w:color="auto"/>
              <w:right w:val="single" w:sz="4" w:space="0" w:color="auto"/>
            </w:tcBorders>
            <w:hideMark/>
          </w:tcPr>
          <w:p w:rsidR="00F203EE"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Инта</w:t>
            </w:r>
            <w:r w:rsidR="00F203EE">
              <w:rPr>
                <w:rFonts w:ascii="Times New Roman" w:hAnsi="Times New Roman"/>
                <w:sz w:val="28"/>
                <w:szCs w:val="28"/>
              </w:rPr>
              <w:t xml:space="preserve"> </w:t>
            </w:r>
          </w:p>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ктное население </w:t>
            </w:r>
          </w:p>
        </w:tc>
        <w:tc>
          <w:tcPr>
            <w:tcW w:w="231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Всего </w:t>
            </w:r>
          </w:p>
        </w:tc>
      </w:tr>
      <w:tr w:rsidR="007732E8" w:rsidRPr="007732E8" w:rsidTr="004321F3">
        <w:tc>
          <w:tcPr>
            <w:tcW w:w="233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Высокогорье</w:t>
            </w:r>
          </w:p>
        </w:tc>
        <w:tc>
          <w:tcPr>
            <w:tcW w:w="255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4231</w:t>
            </w:r>
          </w:p>
        </w:tc>
        <w:tc>
          <w:tcPr>
            <w:tcW w:w="243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304169</w:t>
            </w:r>
          </w:p>
        </w:tc>
        <w:tc>
          <w:tcPr>
            <w:tcW w:w="231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308400</w:t>
            </w:r>
          </w:p>
        </w:tc>
      </w:tr>
      <w:tr w:rsidR="007732E8" w:rsidRPr="007732E8" w:rsidTr="004321F3">
        <w:tc>
          <w:tcPr>
            <w:tcW w:w="233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Низкогорье</w:t>
            </w:r>
          </w:p>
        </w:tc>
        <w:tc>
          <w:tcPr>
            <w:tcW w:w="255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95281</w:t>
            </w:r>
          </w:p>
        </w:tc>
        <w:tc>
          <w:tcPr>
            <w:tcW w:w="243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1049719</w:t>
            </w:r>
          </w:p>
        </w:tc>
        <w:tc>
          <w:tcPr>
            <w:tcW w:w="231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1145000</w:t>
            </w:r>
          </w:p>
        </w:tc>
      </w:tr>
      <w:tr w:rsidR="007732E8" w:rsidRPr="007732E8" w:rsidTr="004321F3">
        <w:tc>
          <w:tcPr>
            <w:tcW w:w="2339"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Всего </w:t>
            </w:r>
          </w:p>
        </w:tc>
        <w:tc>
          <w:tcPr>
            <w:tcW w:w="255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99512</w:t>
            </w:r>
          </w:p>
        </w:tc>
        <w:tc>
          <w:tcPr>
            <w:tcW w:w="243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1353888</w:t>
            </w:r>
          </w:p>
        </w:tc>
        <w:tc>
          <w:tcPr>
            <w:tcW w:w="231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1453400</w:t>
            </w:r>
          </w:p>
        </w:tc>
      </w:tr>
    </w:tbl>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3D4E8F">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Оценивая риски инфицированности в различных климатогеографических регионах, мы пришли к заключению, что в высокогорном регионе распространение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 xml:space="preserve">-19 медленнее относительно низкогорья. Так показатели </w:t>
      </w:r>
      <w:r w:rsidRPr="007732E8">
        <w:rPr>
          <w:rFonts w:ascii="Times New Roman" w:eastAsia="Calibri" w:hAnsi="Times New Roman" w:cs="Times New Roman"/>
          <w:sz w:val="28"/>
          <w:szCs w:val="28"/>
          <w:lang w:val="en-US"/>
        </w:rPr>
        <w:t>OR</w:t>
      </w:r>
      <w:r w:rsidRPr="007732E8">
        <w:rPr>
          <w:rFonts w:ascii="Times New Roman" w:eastAsia="Calibri" w:hAnsi="Times New Roman" w:cs="Times New Roman"/>
          <w:sz w:val="28"/>
          <w:szCs w:val="28"/>
        </w:rPr>
        <w:t xml:space="preserve">=0.15, </w:t>
      </w:r>
      <w:r w:rsidRPr="007732E8">
        <w:rPr>
          <w:rFonts w:ascii="Times New Roman" w:eastAsia="Calibri" w:hAnsi="Times New Roman" w:cs="Times New Roman"/>
          <w:sz w:val="28"/>
          <w:szCs w:val="28"/>
          <w:lang w:val="en-US"/>
        </w:rPr>
        <w:t>RR</w:t>
      </w:r>
      <w:r w:rsidRPr="007732E8">
        <w:rPr>
          <w:rFonts w:ascii="Times New Roman" w:eastAsia="Calibri" w:hAnsi="Times New Roman" w:cs="Times New Roman"/>
          <w:sz w:val="28"/>
          <w:szCs w:val="28"/>
        </w:rPr>
        <w:t xml:space="preserve">=0.17 и </w:t>
      </w:r>
      <w:r w:rsidRPr="007732E8">
        <w:rPr>
          <w:rFonts w:ascii="Times New Roman" w:eastAsia="Calibri" w:hAnsi="Times New Roman" w:cs="Times New Roman"/>
          <w:sz w:val="28"/>
          <w:szCs w:val="28"/>
          <w:lang w:val="en-US"/>
        </w:rPr>
        <w:t>RA</w:t>
      </w:r>
      <w:r w:rsidRPr="007732E8">
        <w:rPr>
          <w:rFonts w:ascii="Times New Roman" w:eastAsia="Calibri" w:hAnsi="Times New Roman" w:cs="Times New Roman"/>
          <w:sz w:val="28"/>
          <w:szCs w:val="28"/>
        </w:rPr>
        <w:t xml:space="preserve">= - 0.069. Данные параметры соответствуют нейтрального и положительного эффекта высокогорного фактора в отношении распространения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w:t>
      </w:r>
    </w:p>
    <w:p w:rsidR="007732E8" w:rsidRDefault="00C04F24" w:rsidP="00C04F24">
      <w:pPr>
        <w:spacing w:after="0" w:line="360" w:lineRule="auto"/>
        <w:ind w:firstLine="709"/>
        <w:jc w:val="both"/>
        <w:rPr>
          <w:rFonts w:ascii="Times New Roman" w:eastAsia="Calibri" w:hAnsi="Times New Roman" w:cs="Times New Roman"/>
          <w:sz w:val="28"/>
          <w:szCs w:val="28"/>
        </w:rPr>
      </w:pPr>
      <w:r w:rsidRPr="00C04F24">
        <w:rPr>
          <w:rFonts w:ascii="Times New Roman" w:eastAsia="Calibri" w:hAnsi="Times New Roman" w:cs="Times New Roman"/>
          <w:sz w:val="28"/>
          <w:szCs w:val="28"/>
        </w:rPr>
        <w:t xml:space="preserve">В условиях высокогорья риск инфицирования COVID-19 заметно отличается от аналогичного показателя в среднегорье. Как видно из данных, представленных в таблице 3.1.7, в высокогорных районах зарегистрировано </w:t>
      </w:r>
      <w:r w:rsidRPr="00C04F24">
        <w:rPr>
          <w:rFonts w:ascii="Times New Roman" w:eastAsia="Calibri" w:hAnsi="Times New Roman" w:cs="Times New Roman"/>
          <w:sz w:val="28"/>
          <w:szCs w:val="28"/>
        </w:rPr>
        <w:lastRenderedPageBreak/>
        <w:t>4231 случай инфицирования, что составляет меньшую долю от общего числа жителей (308 400 человек) по сравнению с показателями среднегорья, где выявлено 14 187 случаев на 538 400 человек. Эти различия могут быть связаны как с численностью населения, так и с особенностями среды обитания, включая плотность проживания и доступ к медицинской помощи.</w:t>
      </w:r>
    </w:p>
    <w:p w:rsidR="00C04F24" w:rsidRPr="007732E8" w:rsidRDefault="00C04F24" w:rsidP="00C04F24">
      <w:pPr>
        <w:spacing w:after="0" w:line="360" w:lineRule="auto"/>
        <w:ind w:firstLine="709"/>
        <w:jc w:val="both"/>
        <w:rPr>
          <w:rFonts w:ascii="Times New Roman" w:eastAsia="Calibri" w:hAnsi="Times New Roman" w:cs="Times New Roman"/>
          <w:sz w:val="28"/>
          <w:szCs w:val="28"/>
        </w:rPr>
      </w:pPr>
    </w:p>
    <w:p w:rsidR="007732E8" w:rsidRPr="007732E8" w:rsidRDefault="007732E8" w:rsidP="00D54F4E">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Таблица 3.</w:t>
      </w:r>
      <w:r w:rsidR="003D4E8F">
        <w:rPr>
          <w:rFonts w:ascii="Times New Roman" w:eastAsia="Calibri" w:hAnsi="Times New Roman" w:cs="Times New Roman"/>
          <w:sz w:val="28"/>
          <w:szCs w:val="28"/>
        </w:rPr>
        <w:t>1.</w:t>
      </w:r>
      <w:r w:rsidRPr="007732E8">
        <w:rPr>
          <w:rFonts w:ascii="Times New Roman" w:eastAsia="Calibri" w:hAnsi="Times New Roman" w:cs="Times New Roman"/>
          <w:sz w:val="28"/>
          <w:szCs w:val="28"/>
        </w:rPr>
        <w:t>7</w:t>
      </w:r>
      <w:r w:rsidR="00D54F4E">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Оценка риска инфицирования в условиях высок</w:t>
      </w:r>
      <w:r w:rsidR="00D54F4E">
        <w:rPr>
          <w:rFonts w:ascii="Times New Roman" w:eastAsia="Calibri" w:hAnsi="Times New Roman" w:cs="Times New Roman"/>
          <w:sz w:val="28"/>
          <w:szCs w:val="28"/>
        </w:rPr>
        <w:t>огорья относительно среднегорья</w:t>
      </w:r>
    </w:p>
    <w:tbl>
      <w:tblPr>
        <w:tblStyle w:val="a3"/>
        <w:tblW w:w="0" w:type="auto"/>
        <w:tblLook w:val="04A0" w:firstRow="1" w:lastRow="0" w:firstColumn="1" w:lastColumn="0" w:noHBand="0" w:noVBand="1"/>
      </w:tblPr>
      <w:tblGrid>
        <w:gridCol w:w="2448"/>
        <w:gridCol w:w="2550"/>
        <w:gridCol w:w="2437"/>
        <w:gridCol w:w="2419"/>
      </w:tblGrid>
      <w:tr w:rsidR="007732E8" w:rsidRPr="007732E8" w:rsidTr="007732E8">
        <w:tc>
          <w:tcPr>
            <w:tcW w:w="247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Параметры </w:t>
            </w:r>
          </w:p>
        </w:tc>
        <w:tc>
          <w:tcPr>
            <w:tcW w:w="247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Инфицированность </w:t>
            </w:r>
          </w:p>
        </w:tc>
        <w:tc>
          <w:tcPr>
            <w:tcW w:w="247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Интактное население </w:t>
            </w:r>
          </w:p>
        </w:tc>
        <w:tc>
          <w:tcPr>
            <w:tcW w:w="247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Всего </w:t>
            </w:r>
          </w:p>
        </w:tc>
      </w:tr>
      <w:tr w:rsidR="007732E8" w:rsidRPr="007732E8" w:rsidTr="007732E8">
        <w:tc>
          <w:tcPr>
            <w:tcW w:w="247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Высокогорье</w:t>
            </w:r>
          </w:p>
        </w:tc>
        <w:tc>
          <w:tcPr>
            <w:tcW w:w="247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4231</w:t>
            </w:r>
          </w:p>
        </w:tc>
        <w:tc>
          <w:tcPr>
            <w:tcW w:w="247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304169</w:t>
            </w:r>
          </w:p>
        </w:tc>
        <w:tc>
          <w:tcPr>
            <w:tcW w:w="247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308400</w:t>
            </w:r>
          </w:p>
        </w:tc>
      </w:tr>
      <w:tr w:rsidR="007732E8" w:rsidRPr="007732E8" w:rsidTr="007732E8">
        <w:tc>
          <w:tcPr>
            <w:tcW w:w="247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Среднегорье</w:t>
            </w:r>
          </w:p>
        </w:tc>
        <w:tc>
          <w:tcPr>
            <w:tcW w:w="247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14187</w:t>
            </w:r>
          </w:p>
        </w:tc>
        <w:tc>
          <w:tcPr>
            <w:tcW w:w="247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527213</w:t>
            </w:r>
          </w:p>
        </w:tc>
        <w:tc>
          <w:tcPr>
            <w:tcW w:w="247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538400</w:t>
            </w:r>
          </w:p>
        </w:tc>
      </w:tr>
      <w:tr w:rsidR="007732E8" w:rsidRPr="007732E8" w:rsidTr="007732E8">
        <w:tc>
          <w:tcPr>
            <w:tcW w:w="247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 xml:space="preserve">Всего </w:t>
            </w:r>
          </w:p>
        </w:tc>
        <w:tc>
          <w:tcPr>
            <w:tcW w:w="247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18418</w:t>
            </w:r>
          </w:p>
        </w:tc>
        <w:tc>
          <w:tcPr>
            <w:tcW w:w="247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831382</w:t>
            </w:r>
          </w:p>
        </w:tc>
        <w:tc>
          <w:tcPr>
            <w:tcW w:w="247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849800</w:t>
            </w:r>
          </w:p>
        </w:tc>
      </w:tr>
    </w:tbl>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3D4E8F">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Высокогорье так же отличилось в оценке инфицированности, в когорте со среднегорьем. Так </w:t>
      </w:r>
      <w:r w:rsidRPr="007732E8">
        <w:rPr>
          <w:rFonts w:ascii="Times New Roman" w:eastAsia="Calibri" w:hAnsi="Times New Roman" w:cs="Times New Roman"/>
          <w:sz w:val="28"/>
          <w:szCs w:val="28"/>
          <w:lang w:val="en-US"/>
        </w:rPr>
        <w:t>OR</w:t>
      </w:r>
      <w:r w:rsidRPr="007732E8">
        <w:rPr>
          <w:rFonts w:ascii="Times New Roman" w:eastAsia="Calibri" w:hAnsi="Times New Roman" w:cs="Times New Roman"/>
          <w:sz w:val="28"/>
          <w:szCs w:val="28"/>
        </w:rPr>
        <w:t xml:space="preserve">=0.52, </w:t>
      </w:r>
      <w:r w:rsidRPr="007732E8">
        <w:rPr>
          <w:rFonts w:ascii="Times New Roman" w:eastAsia="Calibri" w:hAnsi="Times New Roman" w:cs="Times New Roman"/>
          <w:sz w:val="28"/>
          <w:szCs w:val="28"/>
          <w:lang w:val="en-US"/>
        </w:rPr>
        <w:t>RR</w:t>
      </w:r>
      <w:r w:rsidRPr="007732E8">
        <w:rPr>
          <w:rFonts w:ascii="Times New Roman" w:eastAsia="Calibri" w:hAnsi="Times New Roman" w:cs="Times New Roman"/>
          <w:sz w:val="28"/>
          <w:szCs w:val="28"/>
        </w:rPr>
        <w:t xml:space="preserve">=0.54 и </w:t>
      </w:r>
      <w:r w:rsidRPr="007732E8">
        <w:rPr>
          <w:rFonts w:ascii="Times New Roman" w:eastAsia="Calibri" w:hAnsi="Times New Roman" w:cs="Times New Roman"/>
          <w:sz w:val="28"/>
          <w:szCs w:val="28"/>
          <w:lang w:val="en-US"/>
        </w:rPr>
        <w:t>RA</w:t>
      </w:r>
      <w:r w:rsidRPr="007732E8">
        <w:rPr>
          <w:rFonts w:ascii="Times New Roman" w:eastAsia="Calibri" w:hAnsi="Times New Roman" w:cs="Times New Roman"/>
          <w:sz w:val="28"/>
          <w:szCs w:val="28"/>
        </w:rPr>
        <w:t xml:space="preserve">=-0.012 говорят о препятствии распространению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 среди населения в высокогорном регионе относительно среднегорного региона.</w:t>
      </w:r>
    </w:p>
    <w:p w:rsidR="007732E8" w:rsidRDefault="00C04F24" w:rsidP="00C04F24">
      <w:pPr>
        <w:spacing w:after="0" w:line="360" w:lineRule="auto"/>
        <w:ind w:firstLine="709"/>
        <w:jc w:val="both"/>
        <w:rPr>
          <w:rFonts w:ascii="Times New Roman" w:eastAsia="Calibri" w:hAnsi="Times New Roman" w:cs="Times New Roman"/>
          <w:sz w:val="28"/>
          <w:szCs w:val="28"/>
        </w:rPr>
      </w:pPr>
      <w:r w:rsidRPr="00C04F24">
        <w:rPr>
          <w:rFonts w:ascii="Times New Roman" w:eastAsia="Calibri" w:hAnsi="Times New Roman" w:cs="Times New Roman"/>
          <w:sz w:val="28"/>
          <w:szCs w:val="28"/>
        </w:rPr>
        <w:t>Анализ риска инфицирования COVID-19 в условиях низкогорья и среднегорья показывает значительные различия, обусловленные характеристиками популяции и окружающей среды. В низкогорных районах зарегистрировано 95 281 случай инфицирования на фоне общей численности населения в 1 145 000 человек, что существенно превышает показатели среднегорья, где выявлено 14 187 случаев на 538 400 жителей. Эти данные, представленные в таблице 3.1.8, указывают на возможное влияние факторов плотности населения, уровня урбанизации и доступа к профилактическим мерам на распространение инфекции.</w:t>
      </w:r>
    </w:p>
    <w:p w:rsidR="00C04F24" w:rsidRPr="007732E8" w:rsidRDefault="00C04F24" w:rsidP="00C04F24">
      <w:pPr>
        <w:spacing w:after="0" w:line="360" w:lineRule="auto"/>
        <w:ind w:firstLine="709"/>
        <w:jc w:val="both"/>
        <w:rPr>
          <w:rFonts w:ascii="Times New Roman" w:eastAsia="Calibri" w:hAnsi="Times New Roman" w:cs="Times New Roman"/>
          <w:sz w:val="28"/>
          <w:szCs w:val="28"/>
        </w:rPr>
      </w:pPr>
    </w:p>
    <w:p w:rsidR="007732E8" w:rsidRPr="007732E8" w:rsidRDefault="007732E8" w:rsidP="00F60B97">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Таблица 3.</w:t>
      </w:r>
      <w:r w:rsidR="003D4E8F">
        <w:rPr>
          <w:rFonts w:ascii="Times New Roman" w:eastAsia="Calibri" w:hAnsi="Times New Roman" w:cs="Times New Roman"/>
          <w:sz w:val="28"/>
          <w:szCs w:val="28"/>
        </w:rPr>
        <w:t>1.</w:t>
      </w:r>
      <w:r w:rsidRPr="007732E8">
        <w:rPr>
          <w:rFonts w:ascii="Times New Roman" w:eastAsia="Calibri" w:hAnsi="Times New Roman" w:cs="Times New Roman"/>
          <w:sz w:val="28"/>
          <w:szCs w:val="28"/>
        </w:rPr>
        <w:t>8</w:t>
      </w:r>
      <w:r w:rsidR="00F60B97">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Оценка риска инфицирования в условиях низк</w:t>
      </w:r>
      <w:r w:rsidR="00F60B97">
        <w:rPr>
          <w:rFonts w:ascii="Times New Roman" w:eastAsia="Calibri" w:hAnsi="Times New Roman" w:cs="Times New Roman"/>
          <w:sz w:val="28"/>
          <w:szCs w:val="28"/>
        </w:rPr>
        <w:t>огорья относительно среднегорья</w:t>
      </w:r>
    </w:p>
    <w:tbl>
      <w:tblPr>
        <w:tblStyle w:val="a3"/>
        <w:tblW w:w="0" w:type="auto"/>
        <w:tblLook w:val="04A0" w:firstRow="1" w:lastRow="0" w:firstColumn="1" w:lastColumn="0" w:noHBand="0" w:noVBand="1"/>
      </w:tblPr>
      <w:tblGrid>
        <w:gridCol w:w="2447"/>
        <w:gridCol w:w="2550"/>
        <w:gridCol w:w="2436"/>
        <w:gridCol w:w="2421"/>
      </w:tblGrid>
      <w:tr w:rsidR="007732E8" w:rsidRPr="007732E8" w:rsidTr="007732E8">
        <w:tc>
          <w:tcPr>
            <w:tcW w:w="246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rPr>
            </w:pPr>
            <w:r w:rsidRPr="007732E8">
              <w:rPr>
                <w:rFonts w:ascii="Times New Roman" w:hAnsi="Times New Roman"/>
                <w:sz w:val="28"/>
                <w:szCs w:val="28"/>
              </w:rPr>
              <w:lastRenderedPageBreak/>
              <w:t xml:space="preserve">Параметры </w:t>
            </w:r>
          </w:p>
        </w:tc>
        <w:tc>
          <w:tcPr>
            <w:tcW w:w="255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rPr>
            </w:pPr>
            <w:r w:rsidRPr="007732E8">
              <w:rPr>
                <w:rFonts w:ascii="Times New Roman" w:hAnsi="Times New Roman"/>
                <w:sz w:val="28"/>
                <w:szCs w:val="28"/>
              </w:rPr>
              <w:t xml:space="preserve">Инфицированность </w:t>
            </w:r>
          </w:p>
        </w:tc>
        <w:tc>
          <w:tcPr>
            <w:tcW w:w="24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rPr>
            </w:pPr>
            <w:r w:rsidRPr="007732E8">
              <w:rPr>
                <w:rFonts w:ascii="Times New Roman" w:hAnsi="Times New Roman"/>
                <w:sz w:val="28"/>
                <w:szCs w:val="28"/>
              </w:rPr>
              <w:t xml:space="preserve">Интактное население </w:t>
            </w:r>
          </w:p>
        </w:tc>
        <w:tc>
          <w:tcPr>
            <w:tcW w:w="244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rPr>
            </w:pPr>
            <w:r w:rsidRPr="007732E8">
              <w:rPr>
                <w:rFonts w:ascii="Times New Roman" w:hAnsi="Times New Roman"/>
                <w:sz w:val="28"/>
                <w:szCs w:val="28"/>
              </w:rPr>
              <w:t xml:space="preserve">Всего </w:t>
            </w:r>
          </w:p>
        </w:tc>
      </w:tr>
      <w:tr w:rsidR="007732E8" w:rsidRPr="007732E8" w:rsidTr="007732E8">
        <w:tc>
          <w:tcPr>
            <w:tcW w:w="246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rPr>
            </w:pPr>
            <w:r w:rsidRPr="007732E8">
              <w:rPr>
                <w:rFonts w:ascii="Times New Roman" w:hAnsi="Times New Roman"/>
                <w:sz w:val="28"/>
                <w:szCs w:val="28"/>
              </w:rPr>
              <w:t>Низкогорья</w:t>
            </w:r>
          </w:p>
        </w:tc>
        <w:tc>
          <w:tcPr>
            <w:tcW w:w="255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rPr>
            </w:pPr>
            <w:r w:rsidRPr="007732E8">
              <w:rPr>
                <w:rFonts w:ascii="Times New Roman" w:hAnsi="Times New Roman"/>
                <w:sz w:val="28"/>
                <w:szCs w:val="28"/>
              </w:rPr>
              <w:t>95281</w:t>
            </w:r>
          </w:p>
        </w:tc>
        <w:tc>
          <w:tcPr>
            <w:tcW w:w="24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rPr>
            </w:pPr>
            <w:r w:rsidRPr="007732E8">
              <w:rPr>
                <w:rFonts w:ascii="Times New Roman" w:hAnsi="Times New Roman"/>
                <w:sz w:val="28"/>
                <w:szCs w:val="28"/>
              </w:rPr>
              <w:t>1049719</w:t>
            </w:r>
          </w:p>
        </w:tc>
        <w:tc>
          <w:tcPr>
            <w:tcW w:w="244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rPr>
            </w:pPr>
            <w:r w:rsidRPr="007732E8">
              <w:rPr>
                <w:rFonts w:ascii="Times New Roman" w:hAnsi="Times New Roman"/>
                <w:sz w:val="28"/>
                <w:szCs w:val="28"/>
              </w:rPr>
              <w:t>1145000</w:t>
            </w:r>
          </w:p>
        </w:tc>
      </w:tr>
      <w:tr w:rsidR="007732E8" w:rsidRPr="007732E8" w:rsidTr="007732E8">
        <w:tc>
          <w:tcPr>
            <w:tcW w:w="246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rPr>
            </w:pPr>
            <w:r w:rsidRPr="007732E8">
              <w:rPr>
                <w:rFonts w:ascii="Times New Roman" w:hAnsi="Times New Roman"/>
                <w:sz w:val="28"/>
                <w:szCs w:val="28"/>
              </w:rPr>
              <w:t>Среднегорье</w:t>
            </w:r>
          </w:p>
        </w:tc>
        <w:tc>
          <w:tcPr>
            <w:tcW w:w="255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rPr>
            </w:pPr>
            <w:r w:rsidRPr="007732E8">
              <w:rPr>
                <w:rFonts w:ascii="Times New Roman" w:hAnsi="Times New Roman"/>
                <w:sz w:val="28"/>
                <w:szCs w:val="28"/>
              </w:rPr>
              <w:t>14187</w:t>
            </w:r>
          </w:p>
        </w:tc>
        <w:tc>
          <w:tcPr>
            <w:tcW w:w="24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rPr>
            </w:pPr>
            <w:r w:rsidRPr="007732E8">
              <w:rPr>
                <w:rFonts w:ascii="Times New Roman" w:hAnsi="Times New Roman"/>
                <w:sz w:val="28"/>
                <w:szCs w:val="28"/>
              </w:rPr>
              <w:t>527213</w:t>
            </w:r>
          </w:p>
        </w:tc>
        <w:tc>
          <w:tcPr>
            <w:tcW w:w="244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rPr>
            </w:pPr>
            <w:r w:rsidRPr="007732E8">
              <w:rPr>
                <w:rFonts w:ascii="Times New Roman" w:hAnsi="Times New Roman"/>
                <w:sz w:val="28"/>
                <w:szCs w:val="28"/>
              </w:rPr>
              <w:t>538400</w:t>
            </w:r>
          </w:p>
        </w:tc>
      </w:tr>
      <w:tr w:rsidR="007732E8" w:rsidRPr="007732E8" w:rsidTr="007732E8">
        <w:tc>
          <w:tcPr>
            <w:tcW w:w="246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rPr>
            </w:pPr>
            <w:r w:rsidRPr="007732E8">
              <w:rPr>
                <w:rFonts w:ascii="Times New Roman" w:hAnsi="Times New Roman"/>
                <w:sz w:val="28"/>
                <w:szCs w:val="28"/>
              </w:rPr>
              <w:t xml:space="preserve">Всего </w:t>
            </w:r>
          </w:p>
        </w:tc>
        <w:tc>
          <w:tcPr>
            <w:tcW w:w="2550"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rPr>
            </w:pPr>
            <w:r w:rsidRPr="007732E8">
              <w:rPr>
                <w:rFonts w:ascii="Times New Roman" w:hAnsi="Times New Roman"/>
                <w:sz w:val="28"/>
                <w:szCs w:val="28"/>
              </w:rPr>
              <w:t>109468</w:t>
            </w:r>
          </w:p>
        </w:tc>
        <w:tc>
          <w:tcPr>
            <w:tcW w:w="24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rPr>
            </w:pPr>
            <w:r w:rsidRPr="007732E8">
              <w:rPr>
                <w:rFonts w:ascii="Times New Roman" w:hAnsi="Times New Roman"/>
                <w:sz w:val="28"/>
                <w:szCs w:val="28"/>
              </w:rPr>
              <w:t>1576932</w:t>
            </w:r>
          </w:p>
        </w:tc>
        <w:tc>
          <w:tcPr>
            <w:tcW w:w="244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rPr>
            </w:pPr>
            <w:r w:rsidRPr="007732E8">
              <w:rPr>
                <w:rFonts w:ascii="Times New Roman" w:hAnsi="Times New Roman"/>
                <w:sz w:val="28"/>
                <w:szCs w:val="28"/>
              </w:rPr>
              <w:t>1686400</w:t>
            </w:r>
          </w:p>
        </w:tc>
      </w:tr>
    </w:tbl>
    <w:p w:rsidR="007732E8" w:rsidRPr="00F60B97" w:rsidRDefault="007732E8" w:rsidP="007732E8">
      <w:pPr>
        <w:spacing w:after="0" w:line="360" w:lineRule="auto"/>
        <w:jc w:val="both"/>
        <w:rPr>
          <w:rFonts w:ascii="Times New Roman" w:eastAsia="Calibri" w:hAnsi="Times New Roman" w:cs="Times New Roman"/>
          <w:sz w:val="20"/>
          <w:szCs w:val="28"/>
        </w:rPr>
      </w:pPr>
    </w:p>
    <w:p w:rsidR="007732E8" w:rsidRPr="007732E8" w:rsidRDefault="007732E8" w:rsidP="003D4E8F">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Отношение рисков</w:t>
      </w:r>
      <w:r w:rsidR="00C04F24">
        <w:rPr>
          <w:rFonts w:ascii="Times New Roman" w:eastAsia="Calibri" w:hAnsi="Times New Roman" w:cs="Times New Roman"/>
          <w:sz w:val="28"/>
          <w:szCs w:val="28"/>
        </w:rPr>
        <w:t>, отраженные в таблице 3.1.9.,</w:t>
      </w:r>
      <w:r w:rsidRPr="007732E8">
        <w:rPr>
          <w:rFonts w:ascii="Times New Roman" w:eastAsia="Calibri" w:hAnsi="Times New Roman" w:cs="Times New Roman"/>
          <w:sz w:val="28"/>
          <w:szCs w:val="28"/>
        </w:rPr>
        <w:t xml:space="preserve"> в низко- и среднегорье составила: </w:t>
      </w:r>
      <w:r w:rsidRPr="007732E8">
        <w:rPr>
          <w:rFonts w:ascii="Times New Roman" w:eastAsia="Calibri" w:hAnsi="Times New Roman" w:cs="Times New Roman"/>
          <w:sz w:val="28"/>
          <w:szCs w:val="28"/>
          <w:lang w:val="en-US"/>
        </w:rPr>
        <w:t>OR</w:t>
      </w:r>
      <w:r w:rsidRPr="007732E8">
        <w:rPr>
          <w:rFonts w:ascii="Times New Roman" w:eastAsia="Calibri" w:hAnsi="Times New Roman" w:cs="Times New Roman"/>
          <w:sz w:val="28"/>
          <w:szCs w:val="28"/>
        </w:rPr>
        <w:t xml:space="preserve">=3.38, </w:t>
      </w:r>
      <w:r w:rsidRPr="007732E8">
        <w:rPr>
          <w:rFonts w:ascii="Times New Roman" w:eastAsia="Calibri" w:hAnsi="Times New Roman" w:cs="Times New Roman"/>
          <w:sz w:val="28"/>
          <w:szCs w:val="28"/>
          <w:lang w:val="en-US"/>
        </w:rPr>
        <w:t>RR</w:t>
      </w:r>
      <w:r w:rsidRPr="007732E8">
        <w:rPr>
          <w:rFonts w:ascii="Times New Roman" w:eastAsia="Calibri" w:hAnsi="Times New Roman" w:cs="Times New Roman"/>
          <w:sz w:val="28"/>
          <w:szCs w:val="28"/>
        </w:rPr>
        <w:t xml:space="preserve">=3.19 и </w:t>
      </w:r>
      <w:r w:rsidRPr="007732E8">
        <w:rPr>
          <w:rFonts w:ascii="Times New Roman" w:eastAsia="Calibri" w:hAnsi="Times New Roman" w:cs="Times New Roman"/>
          <w:sz w:val="28"/>
          <w:szCs w:val="28"/>
          <w:lang w:val="en-US"/>
        </w:rPr>
        <w:t>RA</w:t>
      </w:r>
      <w:r w:rsidRPr="007732E8">
        <w:rPr>
          <w:rFonts w:ascii="Times New Roman" w:eastAsia="Calibri" w:hAnsi="Times New Roman" w:cs="Times New Roman"/>
          <w:sz w:val="28"/>
          <w:szCs w:val="28"/>
        </w:rPr>
        <w:t xml:space="preserve">=0.057, что свидетельствует о более быстром распространении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 в низкогорье относительно средне- и высокогорья. По нашему мнению это связано с более высокой плотностью населения в низкогорье относительно среднегорного региона КР.</w:t>
      </w:r>
    </w:p>
    <w:p w:rsidR="007732E8" w:rsidRPr="00F60B97" w:rsidRDefault="007732E8" w:rsidP="007732E8">
      <w:pPr>
        <w:spacing w:after="0" w:line="360" w:lineRule="auto"/>
        <w:jc w:val="both"/>
        <w:rPr>
          <w:rFonts w:ascii="Times New Roman" w:eastAsia="Calibri" w:hAnsi="Times New Roman" w:cs="Times New Roman"/>
          <w:sz w:val="18"/>
          <w:szCs w:val="28"/>
        </w:rPr>
      </w:pPr>
    </w:p>
    <w:p w:rsidR="007732E8" w:rsidRPr="007732E8" w:rsidRDefault="007732E8" w:rsidP="00F60B97">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Таблица 3.</w:t>
      </w:r>
      <w:r w:rsidR="003D4E8F">
        <w:rPr>
          <w:rFonts w:ascii="Times New Roman" w:eastAsia="Calibri" w:hAnsi="Times New Roman" w:cs="Times New Roman"/>
          <w:sz w:val="28"/>
          <w:szCs w:val="28"/>
        </w:rPr>
        <w:t>1.</w:t>
      </w:r>
      <w:r w:rsidR="00F60B97">
        <w:rPr>
          <w:rFonts w:ascii="Times New Roman" w:eastAsia="Calibri" w:hAnsi="Times New Roman" w:cs="Times New Roman"/>
          <w:sz w:val="28"/>
          <w:szCs w:val="28"/>
        </w:rPr>
        <w:t>9 ‒</w:t>
      </w:r>
      <w:r w:rsidRPr="007732E8">
        <w:rPr>
          <w:rFonts w:ascii="Times New Roman" w:eastAsia="Calibri" w:hAnsi="Times New Roman" w:cs="Times New Roman"/>
          <w:sz w:val="28"/>
          <w:szCs w:val="28"/>
        </w:rPr>
        <w:t xml:space="preserve"> Эпидемиологические параметры риска инфицирования от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 в условиях низко-, средне- и высокогорья.</w:t>
      </w:r>
    </w:p>
    <w:tbl>
      <w:tblPr>
        <w:tblStyle w:val="a3"/>
        <w:tblW w:w="0" w:type="auto"/>
        <w:jc w:val="center"/>
        <w:tblLook w:val="04A0" w:firstRow="1" w:lastRow="0" w:firstColumn="1" w:lastColumn="0" w:noHBand="0" w:noVBand="1"/>
      </w:tblPr>
      <w:tblGrid>
        <w:gridCol w:w="2237"/>
        <w:gridCol w:w="860"/>
        <w:gridCol w:w="2113"/>
        <w:gridCol w:w="2255"/>
        <w:gridCol w:w="2389"/>
      </w:tblGrid>
      <w:tr w:rsidR="007732E8" w:rsidRPr="007732E8" w:rsidTr="007732E8">
        <w:trPr>
          <w:jc w:val="center"/>
        </w:trPr>
        <w:tc>
          <w:tcPr>
            <w:tcW w:w="3114" w:type="dxa"/>
            <w:gridSpan w:val="2"/>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rPr>
            </w:pPr>
            <w:r w:rsidRPr="007732E8">
              <w:rPr>
                <w:rFonts w:ascii="Times New Roman" w:hAnsi="Times New Roman"/>
                <w:sz w:val="28"/>
                <w:szCs w:val="28"/>
              </w:rPr>
              <w:t>Параметры</w:t>
            </w:r>
          </w:p>
        </w:tc>
        <w:tc>
          <w:tcPr>
            <w:tcW w:w="212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rPr>
            </w:pPr>
            <w:r w:rsidRPr="007732E8">
              <w:rPr>
                <w:rFonts w:ascii="Times New Roman" w:hAnsi="Times New Roman"/>
                <w:sz w:val="28"/>
                <w:szCs w:val="28"/>
              </w:rPr>
              <w:t>Низкогорье</w:t>
            </w:r>
          </w:p>
        </w:tc>
        <w:tc>
          <w:tcPr>
            <w:tcW w:w="226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rPr>
            </w:pPr>
            <w:r w:rsidRPr="007732E8">
              <w:rPr>
                <w:rFonts w:ascii="Times New Roman" w:hAnsi="Times New Roman"/>
                <w:sz w:val="28"/>
                <w:szCs w:val="28"/>
              </w:rPr>
              <w:t>Среднегорье</w:t>
            </w:r>
          </w:p>
        </w:tc>
        <w:tc>
          <w:tcPr>
            <w:tcW w:w="240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rPr>
            </w:pPr>
            <w:r w:rsidRPr="007732E8">
              <w:rPr>
                <w:rFonts w:ascii="Times New Roman" w:hAnsi="Times New Roman"/>
                <w:sz w:val="28"/>
                <w:szCs w:val="28"/>
              </w:rPr>
              <w:t>Высокогорье</w:t>
            </w:r>
          </w:p>
        </w:tc>
      </w:tr>
      <w:tr w:rsidR="007732E8" w:rsidRPr="007732E8" w:rsidTr="007732E8">
        <w:trPr>
          <w:jc w:val="center"/>
        </w:trPr>
        <w:tc>
          <w:tcPr>
            <w:tcW w:w="2248" w:type="dxa"/>
            <w:vMerge w:val="restart"/>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276" w:lineRule="auto"/>
              <w:jc w:val="center"/>
              <w:rPr>
                <w:rFonts w:ascii="Times New Roman" w:hAnsi="Times New Roman"/>
                <w:sz w:val="28"/>
                <w:szCs w:val="28"/>
              </w:rPr>
            </w:pPr>
            <w:r w:rsidRPr="007732E8">
              <w:rPr>
                <w:rFonts w:ascii="Times New Roman" w:hAnsi="Times New Roman"/>
                <w:sz w:val="28"/>
                <w:szCs w:val="28"/>
              </w:rPr>
              <w:t>Низкогорье</w:t>
            </w: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OR</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w:t>
            </w:r>
          </w:p>
        </w:tc>
        <w:tc>
          <w:tcPr>
            <w:tcW w:w="226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rPr>
              <w:t>3</w:t>
            </w:r>
            <w:r w:rsidRPr="007732E8">
              <w:rPr>
                <w:rFonts w:ascii="Times New Roman" w:hAnsi="Times New Roman"/>
                <w:sz w:val="28"/>
                <w:szCs w:val="28"/>
                <w:lang w:val="en-US"/>
              </w:rPr>
              <w:t>.38</w:t>
            </w:r>
          </w:p>
        </w:tc>
        <w:tc>
          <w:tcPr>
            <w:tcW w:w="240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0.15</w:t>
            </w:r>
          </w:p>
        </w:tc>
      </w:tr>
      <w:tr w:rsidR="007732E8" w:rsidRPr="007732E8" w:rsidTr="007732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276" w:lineRule="auto"/>
              <w:rPr>
                <w:rFonts w:ascii="Times New Roman" w:hAnsi="Times New Roman"/>
                <w:sz w:val="28"/>
                <w:szCs w:val="28"/>
              </w:rPr>
            </w:pP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RR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276" w:lineRule="auto"/>
              <w:rPr>
                <w:rFonts w:ascii="Times New Roman" w:hAnsi="Times New Roman"/>
                <w:sz w:val="28"/>
                <w:szCs w:val="28"/>
                <w:lang w:val="en-US"/>
              </w:rPr>
            </w:pPr>
          </w:p>
        </w:tc>
        <w:tc>
          <w:tcPr>
            <w:tcW w:w="226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3.19</w:t>
            </w:r>
          </w:p>
        </w:tc>
        <w:tc>
          <w:tcPr>
            <w:tcW w:w="240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0.17</w:t>
            </w:r>
          </w:p>
        </w:tc>
      </w:tr>
      <w:tr w:rsidR="007732E8" w:rsidRPr="007732E8" w:rsidTr="007732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276" w:lineRule="auto"/>
              <w:rPr>
                <w:rFonts w:ascii="Times New Roman" w:hAnsi="Times New Roman"/>
                <w:sz w:val="28"/>
                <w:szCs w:val="28"/>
              </w:rPr>
            </w:pP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RA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276" w:lineRule="auto"/>
              <w:rPr>
                <w:rFonts w:ascii="Times New Roman" w:hAnsi="Times New Roman"/>
                <w:sz w:val="28"/>
                <w:szCs w:val="28"/>
                <w:lang w:val="en-US"/>
              </w:rPr>
            </w:pPr>
          </w:p>
        </w:tc>
        <w:tc>
          <w:tcPr>
            <w:tcW w:w="226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0.057</w:t>
            </w:r>
          </w:p>
        </w:tc>
        <w:tc>
          <w:tcPr>
            <w:tcW w:w="240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-0.069</w:t>
            </w:r>
          </w:p>
        </w:tc>
      </w:tr>
      <w:tr w:rsidR="007732E8" w:rsidRPr="007732E8" w:rsidTr="007732E8">
        <w:trPr>
          <w:jc w:val="center"/>
        </w:trPr>
        <w:tc>
          <w:tcPr>
            <w:tcW w:w="2248" w:type="dxa"/>
            <w:vMerge w:val="restart"/>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276" w:lineRule="auto"/>
              <w:jc w:val="center"/>
              <w:rPr>
                <w:rFonts w:ascii="Times New Roman" w:hAnsi="Times New Roman"/>
                <w:sz w:val="28"/>
                <w:szCs w:val="28"/>
              </w:rPr>
            </w:pPr>
            <w:r w:rsidRPr="007732E8">
              <w:rPr>
                <w:rFonts w:ascii="Times New Roman" w:hAnsi="Times New Roman"/>
                <w:sz w:val="28"/>
                <w:szCs w:val="28"/>
              </w:rPr>
              <w:t>Среднегорье</w:t>
            </w: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OR</w:t>
            </w:r>
          </w:p>
        </w:tc>
        <w:tc>
          <w:tcPr>
            <w:tcW w:w="212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3.38</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w:t>
            </w:r>
          </w:p>
        </w:tc>
        <w:tc>
          <w:tcPr>
            <w:tcW w:w="240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0.52</w:t>
            </w:r>
          </w:p>
        </w:tc>
      </w:tr>
      <w:tr w:rsidR="007732E8" w:rsidRPr="007732E8" w:rsidTr="007732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276" w:lineRule="auto"/>
              <w:rPr>
                <w:rFonts w:ascii="Times New Roman" w:hAnsi="Times New Roman"/>
                <w:sz w:val="28"/>
                <w:szCs w:val="28"/>
              </w:rPr>
            </w:pP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RR</w:t>
            </w:r>
          </w:p>
        </w:tc>
        <w:tc>
          <w:tcPr>
            <w:tcW w:w="212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3.19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276" w:lineRule="auto"/>
              <w:rPr>
                <w:rFonts w:ascii="Times New Roman" w:hAnsi="Times New Roman"/>
                <w:sz w:val="28"/>
                <w:szCs w:val="28"/>
                <w:lang w:val="en-US"/>
              </w:rPr>
            </w:pPr>
          </w:p>
        </w:tc>
        <w:tc>
          <w:tcPr>
            <w:tcW w:w="240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0.54</w:t>
            </w:r>
          </w:p>
        </w:tc>
      </w:tr>
      <w:tr w:rsidR="007732E8" w:rsidRPr="007732E8" w:rsidTr="007732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276" w:lineRule="auto"/>
              <w:rPr>
                <w:rFonts w:ascii="Times New Roman" w:hAnsi="Times New Roman"/>
                <w:sz w:val="28"/>
                <w:szCs w:val="28"/>
              </w:rPr>
            </w:pP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RA</w:t>
            </w:r>
          </w:p>
        </w:tc>
        <w:tc>
          <w:tcPr>
            <w:tcW w:w="212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0.057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276" w:lineRule="auto"/>
              <w:rPr>
                <w:rFonts w:ascii="Times New Roman" w:hAnsi="Times New Roman"/>
                <w:sz w:val="28"/>
                <w:szCs w:val="28"/>
                <w:lang w:val="en-US"/>
              </w:rPr>
            </w:pPr>
          </w:p>
        </w:tc>
        <w:tc>
          <w:tcPr>
            <w:tcW w:w="2404"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-0.012</w:t>
            </w:r>
          </w:p>
        </w:tc>
      </w:tr>
      <w:tr w:rsidR="007732E8" w:rsidRPr="007732E8" w:rsidTr="007732E8">
        <w:trPr>
          <w:jc w:val="center"/>
        </w:trPr>
        <w:tc>
          <w:tcPr>
            <w:tcW w:w="2248" w:type="dxa"/>
            <w:vMerge w:val="restart"/>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276" w:lineRule="auto"/>
              <w:jc w:val="center"/>
              <w:rPr>
                <w:rFonts w:ascii="Times New Roman" w:hAnsi="Times New Roman"/>
                <w:sz w:val="28"/>
                <w:szCs w:val="28"/>
              </w:rPr>
            </w:pPr>
            <w:r w:rsidRPr="007732E8">
              <w:rPr>
                <w:rFonts w:ascii="Times New Roman" w:hAnsi="Times New Roman"/>
                <w:sz w:val="28"/>
                <w:szCs w:val="28"/>
              </w:rPr>
              <w:t>Высокогорье</w:t>
            </w: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OR</w:t>
            </w:r>
          </w:p>
        </w:tc>
        <w:tc>
          <w:tcPr>
            <w:tcW w:w="212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0.15</w:t>
            </w:r>
          </w:p>
        </w:tc>
        <w:tc>
          <w:tcPr>
            <w:tcW w:w="226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276" w:lineRule="auto"/>
              <w:jc w:val="both"/>
              <w:rPr>
                <w:rFonts w:ascii="Times New Roman" w:hAnsi="Times New Roman"/>
                <w:sz w:val="28"/>
                <w:szCs w:val="28"/>
                <w:lang w:val="en-US"/>
              </w:rPr>
            </w:pPr>
            <w:r w:rsidRPr="007732E8">
              <w:rPr>
                <w:rFonts w:ascii="Times New Roman" w:hAnsi="Times New Roman"/>
                <w:sz w:val="28"/>
                <w:szCs w:val="28"/>
                <w:lang w:val="en-US"/>
              </w:rPr>
              <w:t>0.52</w:t>
            </w:r>
          </w:p>
        </w:tc>
        <w:tc>
          <w:tcPr>
            <w:tcW w:w="2404" w:type="dxa"/>
            <w:vMerge w:val="restart"/>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w:t>
            </w:r>
          </w:p>
        </w:tc>
      </w:tr>
      <w:tr w:rsidR="007732E8" w:rsidRPr="007732E8" w:rsidTr="007732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312" w:lineRule="auto"/>
              <w:rPr>
                <w:rFonts w:ascii="Times New Roman" w:hAnsi="Times New Roman"/>
                <w:sz w:val="28"/>
                <w:szCs w:val="28"/>
              </w:rPr>
            </w:pP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RR</w:t>
            </w:r>
          </w:p>
        </w:tc>
        <w:tc>
          <w:tcPr>
            <w:tcW w:w="212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0.17</w:t>
            </w:r>
          </w:p>
        </w:tc>
        <w:tc>
          <w:tcPr>
            <w:tcW w:w="226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0.54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312" w:lineRule="auto"/>
              <w:rPr>
                <w:rFonts w:ascii="Times New Roman" w:hAnsi="Times New Roman"/>
                <w:sz w:val="28"/>
                <w:szCs w:val="28"/>
                <w:lang w:val="en-US"/>
              </w:rPr>
            </w:pPr>
          </w:p>
        </w:tc>
      </w:tr>
      <w:tr w:rsidR="007732E8" w:rsidRPr="007732E8" w:rsidTr="007732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312" w:lineRule="auto"/>
              <w:rPr>
                <w:rFonts w:ascii="Times New Roman" w:hAnsi="Times New Roman"/>
                <w:sz w:val="28"/>
                <w:szCs w:val="28"/>
              </w:rPr>
            </w:pPr>
          </w:p>
        </w:tc>
        <w:tc>
          <w:tcPr>
            <w:tcW w:w="86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RA</w:t>
            </w:r>
          </w:p>
        </w:tc>
        <w:tc>
          <w:tcPr>
            <w:tcW w:w="212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-0.069</w:t>
            </w:r>
          </w:p>
        </w:tc>
        <w:tc>
          <w:tcPr>
            <w:tcW w:w="226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F60B97">
            <w:pPr>
              <w:spacing w:line="312" w:lineRule="auto"/>
              <w:jc w:val="both"/>
              <w:rPr>
                <w:rFonts w:ascii="Times New Roman" w:hAnsi="Times New Roman"/>
                <w:sz w:val="28"/>
                <w:szCs w:val="28"/>
                <w:lang w:val="en-US"/>
              </w:rPr>
            </w:pPr>
            <w:r w:rsidRPr="007732E8">
              <w:rPr>
                <w:rFonts w:ascii="Times New Roman" w:hAnsi="Times New Roman"/>
                <w:sz w:val="28"/>
                <w:szCs w:val="28"/>
                <w:lang w:val="en-US"/>
              </w:rPr>
              <w:t>-0.012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F60B97">
            <w:pPr>
              <w:spacing w:line="312" w:lineRule="auto"/>
              <w:rPr>
                <w:rFonts w:ascii="Times New Roman" w:hAnsi="Times New Roman"/>
                <w:sz w:val="28"/>
                <w:szCs w:val="28"/>
                <w:lang w:val="en-US"/>
              </w:rPr>
            </w:pPr>
          </w:p>
        </w:tc>
      </w:tr>
    </w:tbl>
    <w:p w:rsidR="007732E8" w:rsidRPr="00F60B97" w:rsidRDefault="007732E8" w:rsidP="007732E8">
      <w:pPr>
        <w:spacing w:after="0" w:line="360" w:lineRule="auto"/>
        <w:jc w:val="both"/>
        <w:rPr>
          <w:rFonts w:ascii="Times New Roman" w:eastAsia="Calibri" w:hAnsi="Times New Roman" w:cs="Times New Roman"/>
          <w:sz w:val="24"/>
          <w:szCs w:val="28"/>
        </w:rPr>
      </w:pPr>
      <w:r w:rsidRPr="007732E8">
        <w:rPr>
          <w:rFonts w:ascii="Times New Roman" w:eastAsia="Calibri" w:hAnsi="Times New Roman" w:cs="Times New Roman"/>
          <w:sz w:val="28"/>
          <w:szCs w:val="28"/>
        </w:rPr>
        <w:t>*</w:t>
      </w:r>
      <w:r w:rsidRPr="00F60B97">
        <w:rPr>
          <w:rFonts w:ascii="Times New Roman" w:eastAsia="Calibri" w:hAnsi="Times New Roman" w:cs="Times New Roman"/>
          <w:sz w:val="24"/>
          <w:szCs w:val="28"/>
          <w:lang w:val="en-US"/>
        </w:rPr>
        <w:t>OR</w:t>
      </w:r>
      <w:r w:rsidRPr="00F60B97">
        <w:rPr>
          <w:rFonts w:ascii="Times New Roman" w:eastAsia="Calibri" w:hAnsi="Times New Roman" w:cs="Times New Roman"/>
          <w:sz w:val="24"/>
          <w:szCs w:val="28"/>
        </w:rPr>
        <w:t xml:space="preserve">-отношение шансов влияния фактора на эпидемиологических показатель;  </w:t>
      </w:r>
      <w:r w:rsidRPr="00F60B97">
        <w:rPr>
          <w:rFonts w:ascii="Times New Roman" w:eastAsia="Calibri" w:hAnsi="Times New Roman" w:cs="Times New Roman"/>
          <w:sz w:val="24"/>
          <w:szCs w:val="28"/>
          <w:lang w:val="en-US"/>
        </w:rPr>
        <w:t>RR</w:t>
      </w:r>
      <w:r w:rsidRPr="00F60B97">
        <w:rPr>
          <w:rFonts w:ascii="Times New Roman" w:eastAsia="Calibri" w:hAnsi="Times New Roman" w:cs="Times New Roman"/>
          <w:sz w:val="24"/>
          <w:szCs w:val="28"/>
        </w:rPr>
        <w:t xml:space="preserve">-относительный риск влияния фактора;  </w:t>
      </w:r>
      <w:r w:rsidRPr="00F60B97">
        <w:rPr>
          <w:rFonts w:ascii="Times New Roman" w:eastAsia="Calibri" w:hAnsi="Times New Roman" w:cs="Times New Roman"/>
          <w:sz w:val="24"/>
          <w:szCs w:val="28"/>
          <w:lang w:val="en-US"/>
        </w:rPr>
        <w:t>RA</w:t>
      </w:r>
      <w:r w:rsidRPr="00F60B97">
        <w:rPr>
          <w:rFonts w:ascii="Times New Roman" w:eastAsia="Calibri" w:hAnsi="Times New Roman" w:cs="Times New Roman"/>
          <w:sz w:val="24"/>
          <w:szCs w:val="28"/>
        </w:rPr>
        <w:t xml:space="preserve">-атрибутированный риск влияния фактора. </w:t>
      </w:r>
    </w:p>
    <w:p w:rsidR="007732E8" w:rsidRPr="007732E8" w:rsidRDefault="007732E8" w:rsidP="003D4E8F">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Обобщая данные связанные с влиянием климатогеографического региона на процесс распространения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 xml:space="preserve">-19 среди населения исследуемых регионов, мы пришли к заключению, что коронавирусная инфекция хуже всего распространялась в высокогорье относительно низко- и высокогорья. Показатели рисков, проявляют самые низкие значения инфицированности в Нарынской области КР, тогда как в г.Бишкек риск заражения превышал в 4 раза относительно первого.   </w:t>
      </w:r>
    </w:p>
    <w:p w:rsidR="007732E8" w:rsidRPr="007732E8" w:rsidRDefault="007732E8" w:rsidP="003D4E8F">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b/>
          <w:sz w:val="28"/>
          <w:szCs w:val="28"/>
        </w:rPr>
        <w:lastRenderedPageBreak/>
        <w:t>Резюме.</w:t>
      </w:r>
      <w:r w:rsidRPr="007732E8">
        <w:rPr>
          <w:rFonts w:ascii="Times New Roman" w:eastAsia="Calibri" w:hAnsi="Times New Roman" w:cs="Times New Roman"/>
          <w:sz w:val="28"/>
          <w:szCs w:val="28"/>
        </w:rPr>
        <w:t xml:space="preserve"> Таким образом, высокогорье, как фактор окружающей среды, оказывал позитивную роль в аспекте распространения С</w:t>
      </w:r>
      <w:r w:rsidRPr="007732E8">
        <w:rPr>
          <w:rFonts w:ascii="Times New Roman" w:eastAsia="Calibri" w:hAnsi="Times New Roman" w:cs="Times New Roman"/>
          <w:sz w:val="28"/>
          <w:szCs w:val="28"/>
          <w:lang w:val="en-US"/>
        </w:rPr>
        <w:t>OVID</w:t>
      </w:r>
      <w:r w:rsidRPr="007732E8">
        <w:rPr>
          <w:rFonts w:ascii="Times New Roman" w:eastAsia="Calibri" w:hAnsi="Times New Roman" w:cs="Times New Roman"/>
          <w:sz w:val="28"/>
          <w:szCs w:val="28"/>
        </w:rPr>
        <w:t xml:space="preserve">-19 относительно низко- и среднегорья, тогда как на летальность сыграл негативную роль, увеличивая вероятность смертности населения в указанном регионе. В низкогорье распространение имело наибольший масштаб, о чем свидетельствует показатели эпидемиологических рисков относительно высоко- и среднегорья. </w:t>
      </w:r>
    </w:p>
    <w:p w:rsidR="003D4E8F" w:rsidRDefault="003D4E8F" w:rsidP="003D4E8F">
      <w:pPr>
        <w:spacing w:after="0" w:line="360" w:lineRule="auto"/>
        <w:ind w:firstLine="709"/>
        <w:jc w:val="both"/>
        <w:rPr>
          <w:rFonts w:ascii="Times New Roman" w:eastAsia="Calibri" w:hAnsi="Times New Roman" w:cs="Times New Roman"/>
          <w:b/>
          <w:sz w:val="28"/>
          <w:szCs w:val="28"/>
        </w:rPr>
      </w:pPr>
    </w:p>
    <w:p w:rsidR="007732E8" w:rsidRPr="007732E8" w:rsidRDefault="007732E8" w:rsidP="003D4E8F">
      <w:pPr>
        <w:spacing w:after="0" w:line="360" w:lineRule="auto"/>
        <w:ind w:firstLine="709"/>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3.2. Клинико-лабораторные, иммунологические и инструментальные проявления </w:t>
      </w:r>
      <w:r w:rsidRPr="007732E8">
        <w:rPr>
          <w:rFonts w:ascii="Times New Roman" w:eastAsia="Calibri" w:hAnsi="Times New Roman" w:cs="Times New Roman"/>
          <w:b/>
          <w:sz w:val="28"/>
          <w:szCs w:val="28"/>
          <w:lang w:val="en-US"/>
        </w:rPr>
        <w:t>COVID</w:t>
      </w:r>
      <w:r w:rsidRPr="007732E8">
        <w:rPr>
          <w:rFonts w:ascii="Times New Roman" w:eastAsia="Calibri" w:hAnsi="Times New Roman" w:cs="Times New Roman"/>
          <w:b/>
          <w:sz w:val="28"/>
          <w:szCs w:val="28"/>
        </w:rPr>
        <w:t>-19 в условиях низко-, средне- и высокогорья.</w:t>
      </w:r>
    </w:p>
    <w:p w:rsidR="00F60B97" w:rsidRDefault="00F60B97" w:rsidP="003D4E8F">
      <w:pPr>
        <w:spacing w:after="0" w:line="360" w:lineRule="auto"/>
        <w:ind w:firstLine="709"/>
        <w:jc w:val="both"/>
        <w:rPr>
          <w:rFonts w:ascii="Times New Roman" w:eastAsia="Calibri" w:hAnsi="Times New Roman" w:cs="Times New Roman"/>
          <w:b/>
          <w:sz w:val="28"/>
          <w:szCs w:val="28"/>
        </w:rPr>
      </w:pPr>
    </w:p>
    <w:p w:rsidR="007732E8" w:rsidRPr="007732E8" w:rsidRDefault="007732E8" w:rsidP="003D4E8F">
      <w:pPr>
        <w:spacing w:after="0" w:line="360" w:lineRule="auto"/>
        <w:ind w:firstLine="709"/>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3.2.1. Особенности клинического течения </w:t>
      </w:r>
      <w:r w:rsidRPr="007732E8">
        <w:rPr>
          <w:rFonts w:ascii="Times New Roman" w:eastAsia="Calibri" w:hAnsi="Times New Roman" w:cs="Times New Roman"/>
          <w:b/>
          <w:sz w:val="28"/>
          <w:szCs w:val="28"/>
          <w:lang w:val="en-US"/>
        </w:rPr>
        <w:t>COVID</w:t>
      </w:r>
      <w:r w:rsidRPr="007732E8">
        <w:rPr>
          <w:rFonts w:ascii="Times New Roman" w:eastAsia="Calibri" w:hAnsi="Times New Roman" w:cs="Times New Roman"/>
          <w:b/>
          <w:sz w:val="28"/>
          <w:szCs w:val="28"/>
        </w:rPr>
        <w:t>-19 в условиях низко-, средне- и высокогорья.</w:t>
      </w:r>
    </w:p>
    <w:p w:rsidR="007732E8" w:rsidRPr="007732E8" w:rsidRDefault="007732E8" w:rsidP="003D4E8F">
      <w:pPr>
        <w:spacing w:after="0" w:line="360" w:lineRule="auto"/>
        <w:ind w:firstLine="709"/>
        <w:jc w:val="both"/>
        <w:rPr>
          <w:rFonts w:ascii="Times New Roman" w:eastAsia="Calibri" w:hAnsi="Times New Roman" w:cs="Times New Roman"/>
          <w:b/>
          <w:sz w:val="28"/>
          <w:szCs w:val="28"/>
        </w:rPr>
      </w:pPr>
      <w:r w:rsidRPr="007732E8">
        <w:rPr>
          <w:rFonts w:ascii="Times New Roman" w:eastAsia="Calibri" w:hAnsi="Times New Roman" w:cs="Times New Roman"/>
          <w:sz w:val="28"/>
          <w:szCs w:val="28"/>
        </w:rPr>
        <w:t>В исследовании, согласно протоколу по лечению COVID-19 Кыргызской Республики, первым этапом явилась оценка клинического проявления COVID-19 в исследуемых регионах. Мы оценивали основные клинические проявления с выявлением абсолютной частоты клинических признаков относительно набранных групп между собой.</w:t>
      </w:r>
    </w:p>
    <w:p w:rsidR="007732E8" w:rsidRPr="007732E8" w:rsidRDefault="007732E8" w:rsidP="007732E8">
      <w:pPr>
        <w:spacing w:after="0" w:line="360" w:lineRule="auto"/>
        <w:jc w:val="both"/>
        <w:rPr>
          <w:rFonts w:ascii="Calibri" w:eastAsia="Calibri" w:hAnsi="Calibri" w:cs="Times New Roman"/>
        </w:rPr>
      </w:pPr>
      <w:r w:rsidRPr="007732E8">
        <w:rPr>
          <w:rFonts w:ascii="Calibri" w:eastAsia="Calibri" w:hAnsi="Calibri" w:cs="Times New Roman"/>
          <w:noProof/>
          <w:lang w:eastAsia="ru-RU"/>
        </w:rPr>
        <w:drawing>
          <wp:inline distT="0" distB="0" distL="0" distR="0" wp14:anchorId="15446070" wp14:editId="7B3469F2">
            <wp:extent cx="6301740" cy="3634740"/>
            <wp:effectExtent l="0" t="0" r="22860" b="22860"/>
            <wp:docPr id="3"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732E8" w:rsidRPr="007732E8" w:rsidRDefault="007732E8" w:rsidP="007732E8">
      <w:pPr>
        <w:spacing w:line="254" w:lineRule="auto"/>
        <w:jc w:val="center"/>
        <w:rPr>
          <w:rFonts w:ascii="Times New Roman" w:eastAsia="Calibri" w:hAnsi="Times New Roman" w:cs="Times New Roman"/>
          <w:sz w:val="28"/>
          <w:szCs w:val="28"/>
        </w:rPr>
      </w:pPr>
      <w:r w:rsidRPr="007732E8">
        <w:rPr>
          <w:rFonts w:ascii="Times New Roman" w:eastAsia="Calibri" w:hAnsi="Times New Roman" w:cs="Times New Roman"/>
          <w:sz w:val="28"/>
          <w:szCs w:val="28"/>
        </w:rPr>
        <w:lastRenderedPageBreak/>
        <w:t>Рисунок 3.2.1.1</w:t>
      </w:r>
      <w:r w:rsidR="00F60B97">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Проявление основных клинических симптомов у пациентов с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 в условиях низко-, средне- и высокогорья.</w:t>
      </w:r>
    </w:p>
    <w:p w:rsidR="007732E8" w:rsidRPr="007732E8" w:rsidRDefault="007732E8" w:rsidP="007732E8">
      <w:pPr>
        <w:spacing w:after="0" w:line="360" w:lineRule="auto"/>
        <w:jc w:val="both"/>
        <w:rPr>
          <w:rFonts w:ascii="Times New Roman" w:eastAsia="Calibri" w:hAnsi="Times New Roman" w:cs="Times New Roman"/>
          <w:b/>
          <w:sz w:val="28"/>
          <w:szCs w:val="28"/>
        </w:rPr>
      </w:pPr>
    </w:p>
    <w:p w:rsidR="007732E8" w:rsidRPr="007732E8" w:rsidRDefault="007732E8" w:rsidP="003D4E8F">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Таким образом, ходе нашего исследования, было выявлено, что кашель, боль в горле и озноб проявлялись равномерно независимо от региона. Так, кашель варьировал от 97,5% до 98,2% во всех регионах; боль в горле от 72,6% до 81,3%; озноб проявился в 87,3 до 92,7% во всех группах. Оценивая данные параметры, со стороны литературных данных, мы </w:t>
      </w:r>
      <w:r w:rsidR="003D4E8F" w:rsidRPr="007732E8">
        <w:rPr>
          <w:rFonts w:ascii="Times New Roman" w:eastAsia="Calibri" w:hAnsi="Times New Roman" w:cs="Times New Roman"/>
          <w:sz w:val="28"/>
          <w:szCs w:val="28"/>
        </w:rPr>
        <w:t>считаем,</w:t>
      </w:r>
      <w:r w:rsidRPr="007732E8">
        <w:rPr>
          <w:rFonts w:ascii="Times New Roman" w:eastAsia="Calibri" w:hAnsi="Times New Roman" w:cs="Times New Roman"/>
          <w:sz w:val="28"/>
          <w:szCs w:val="28"/>
        </w:rPr>
        <w:t xml:space="preserve"> что климатические регион проживания людей не влияет на первичное место инвазии SARS-CoV-2, и нет существенных отличий в локализации первичной воспалительной реакции в период продрома и разгара, что и определило </w:t>
      </w:r>
      <w:r w:rsidR="003D4E8F" w:rsidRPr="007732E8">
        <w:rPr>
          <w:rFonts w:ascii="Times New Roman" w:eastAsia="Calibri" w:hAnsi="Times New Roman" w:cs="Times New Roman"/>
          <w:sz w:val="28"/>
          <w:szCs w:val="28"/>
        </w:rPr>
        <w:t>результаты,</w:t>
      </w:r>
      <w:r w:rsidRPr="007732E8">
        <w:rPr>
          <w:rFonts w:ascii="Times New Roman" w:eastAsia="Calibri" w:hAnsi="Times New Roman" w:cs="Times New Roman"/>
          <w:sz w:val="28"/>
          <w:szCs w:val="28"/>
        </w:rPr>
        <w:t xml:space="preserve"> представленные выше. Также, отмечая гипертермию при любых инфекционных заболеваниях, пациенты с COVID-19, во всех трёх исследуемых группах отмечали субфебрильные значения, а фебрильная гипертермия выявлена в 35,1% у жителей низкогорья, 41,7% – среднегорье и 31,9% у исследуемых </w:t>
      </w:r>
      <w:r w:rsidR="003D4E8F" w:rsidRPr="007732E8">
        <w:rPr>
          <w:rFonts w:ascii="Times New Roman" w:eastAsia="Calibri" w:hAnsi="Times New Roman" w:cs="Times New Roman"/>
          <w:sz w:val="28"/>
          <w:szCs w:val="28"/>
        </w:rPr>
        <w:t>из высокогорья</w:t>
      </w:r>
      <w:r w:rsidRPr="007732E8">
        <w:rPr>
          <w:rFonts w:ascii="Times New Roman" w:eastAsia="Calibri" w:hAnsi="Times New Roman" w:cs="Times New Roman"/>
          <w:sz w:val="28"/>
          <w:szCs w:val="28"/>
        </w:rPr>
        <w:t xml:space="preserve"> соответственно. Показатели гипертермии, своей дисперсии не выходят за рамки известных в литературе-данных. </w:t>
      </w:r>
    </w:p>
    <w:p w:rsidR="007732E8" w:rsidRPr="00F60B97" w:rsidRDefault="007732E8" w:rsidP="003D4E8F">
      <w:pPr>
        <w:spacing w:after="0" w:line="360" w:lineRule="auto"/>
        <w:ind w:firstLine="709"/>
        <w:jc w:val="both"/>
        <w:rPr>
          <w:rFonts w:ascii="Times New Roman" w:eastAsia="Calibri" w:hAnsi="Times New Roman" w:cs="Times New Roman"/>
          <w:spacing w:val="-6"/>
          <w:sz w:val="28"/>
          <w:szCs w:val="28"/>
        </w:rPr>
      </w:pPr>
      <w:r w:rsidRPr="00F60B97">
        <w:rPr>
          <w:rFonts w:ascii="Times New Roman" w:eastAsia="Calibri" w:hAnsi="Times New Roman" w:cs="Times New Roman"/>
          <w:spacing w:val="-6"/>
          <w:sz w:val="28"/>
          <w:szCs w:val="28"/>
        </w:rPr>
        <w:t xml:space="preserve">Картина общего субъективного статуса у пациентов COVID-19, говорит о разнице в самооценке личного состояния у исследуемых групп: так слабость, боль в мышцах и суставах, головную боль и иные проявления интоксикации отмечали в 80,1% исследуемых из высокогорье; 71,8% жителей низкогорья; 77,2% среднегорье. Данный феномен, как процесс влияния информационного фактора течение заболевания, детально описан в разделе «ментальное здоровье». Боль и чувство тяжести в грудной клетке чаще отмечались в группе высокогорье – 31,4%, тогда как среднегорье 21,3% и 27,9% – низкогорье. Данное распределение в исследуемых группах, мы связываем не только с гипоксической гипоксией как в случае исследуемых из высокогорного региона, но и состоянием окружающей среды, как отличительной чертой между средне- и низкогорье. </w:t>
      </w:r>
    </w:p>
    <w:p w:rsidR="007732E8" w:rsidRPr="00F60B97" w:rsidRDefault="007732E8" w:rsidP="003D4E8F">
      <w:pPr>
        <w:spacing w:after="0" w:line="360" w:lineRule="auto"/>
        <w:ind w:firstLine="709"/>
        <w:jc w:val="both"/>
        <w:rPr>
          <w:rFonts w:ascii="Times New Roman" w:eastAsia="Calibri" w:hAnsi="Times New Roman" w:cs="Times New Roman"/>
          <w:spacing w:val="-6"/>
          <w:sz w:val="28"/>
          <w:szCs w:val="28"/>
        </w:rPr>
      </w:pPr>
      <w:r w:rsidRPr="00F60B97">
        <w:rPr>
          <w:rFonts w:ascii="Times New Roman" w:eastAsia="Calibri" w:hAnsi="Times New Roman" w:cs="Times New Roman"/>
          <w:spacing w:val="-6"/>
          <w:sz w:val="28"/>
          <w:szCs w:val="28"/>
        </w:rPr>
        <w:t xml:space="preserve">В описанной, в главе обзор литературы, при COVID-19, в отличие от ОРВИ иного генеза, встречаются специфические клинические признаки как анорсия и </w:t>
      </w:r>
      <w:r w:rsidRPr="00F60B97">
        <w:rPr>
          <w:rFonts w:ascii="Times New Roman" w:eastAsia="Calibri" w:hAnsi="Times New Roman" w:cs="Times New Roman"/>
          <w:spacing w:val="-6"/>
          <w:sz w:val="28"/>
          <w:szCs w:val="28"/>
        </w:rPr>
        <w:lastRenderedPageBreak/>
        <w:t xml:space="preserve">авгезия, так анопсия встречается в пределах 15,2 – 17,9%, что не превышает люфт литературной частоты. А авгезия же встречалась реже, в пределах 5,7% до 7,2%. Данные клинические проявления в нашем исследовании, помечены как редко встречающиеся дифференциальные характеристики COVID-19 во всех трёх исследуемых регионах. </w:t>
      </w:r>
    </w:p>
    <w:p w:rsidR="007732E8" w:rsidRPr="00F60B97" w:rsidRDefault="007732E8" w:rsidP="003D4E8F">
      <w:pPr>
        <w:spacing w:after="0" w:line="360" w:lineRule="auto"/>
        <w:ind w:firstLine="709"/>
        <w:jc w:val="both"/>
        <w:rPr>
          <w:rFonts w:ascii="Times New Roman" w:eastAsia="Calibri" w:hAnsi="Times New Roman" w:cs="Times New Roman"/>
          <w:spacing w:val="-6"/>
          <w:sz w:val="28"/>
          <w:szCs w:val="28"/>
        </w:rPr>
      </w:pPr>
      <w:r w:rsidRPr="00F60B97">
        <w:rPr>
          <w:rFonts w:ascii="Times New Roman" w:eastAsia="Calibri" w:hAnsi="Times New Roman" w:cs="Times New Roman"/>
          <w:spacing w:val="-6"/>
          <w:sz w:val="28"/>
          <w:szCs w:val="28"/>
        </w:rPr>
        <w:t xml:space="preserve">Симптомы поражения желудочно-кишечного тракта, в период COVID-19, особенно важно, в виду наличие АПФ2 на мембранах кишечного эпителия. Так диспептические проявления наиболее часто встречались в группе из высокогорного региона. В 12,3% из исследуемых 200, встречались жалобы и симптомы диспепсия тогда как низкогорье данные показатель составил 7,1% и 8,3% в среднегорье соответственно. Полученные данные не укладываются в парадигму концентрационной гипотезы АПФ2 в механизме проникновения в клетку. Мы считаем, что данные проявления не связаны самим течением COVID-19, а является результатом терапевтических подходов. Выявленные данные коррелируют с терапевтическим подход и их смене в исследуемых регионах. </w:t>
      </w:r>
    </w:p>
    <w:p w:rsidR="00F60B97" w:rsidRPr="00F60B97" w:rsidRDefault="007732E8" w:rsidP="003D4E8F">
      <w:pPr>
        <w:spacing w:after="0" w:line="360" w:lineRule="auto"/>
        <w:ind w:firstLine="709"/>
        <w:jc w:val="both"/>
        <w:rPr>
          <w:rFonts w:ascii="Times New Roman" w:eastAsia="Calibri" w:hAnsi="Times New Roman" w:cs="Times New Roman"/>
          <w:spacing w:val="-6"/>
          <w:sz w:val="28"/>
          <w:szCs w:val="28"/>
        </w:rPr>
      </w:pPr>
      <w:r w:rsidRPr="00F60B97">
        <w:rPr>
          <w:rFonts w:ascii="Times New Roman" w:eastAsia="Calibri" w:hAnsi="Times New Roman" w:cs="Times New Roman"/>
          <w:spacing w:val="-6"/>
          <w:sz w:val="28"/>
          <w:szCs w:val="28"/>
        </w:rPr>
        <w:t xml:space="preserve">Собрав данные субъективных проявлений гипоксического состояния, определено что цианоз проявлялся у исследуемых из высокогорного региона в 17,8%, тогда как в среднегорье он варьировал в пределах 10,2%. Данные полученные низкогорном регионе с проявлением цианоза определены 15,2% исследуемых. Мы связываем последнее, с экологической ситуацией кыргызской столицы. Наравне с описанным в предыдущем абзаце, мы оценили проявление хрипов. Так хрипы как и цианоз, чаще встречались у пациентов из высокогорного региона – 37,4%; из низкогорье– 31,8% и меньше всего в среднегорном регионе с показателем 29,2%. Аналогичные результаты цианоза и хрипов указывает о единстве этиологии двух симптомов. </w:t>
      </w:r>
    </w:p>
    <w:p w:rsidR="007732E8" w:rsidRPr="00F60B97" w:rsidRDefault="007732E8" w:rsidP="003D4E8F">
      <w:pPr>
        <w:spacing w:after="0" w:line="360" w:lineRule="auto"/>
        <w:ind w:firstLine="709"/>
        <w:jc w:val="both"/>
        <w:rPr>
          <w:rFonts w:ascii="Times New Roman" w:eastAsia="Calibri" w:hAnsi="Times New Roman" w:cs="Times New Roman"/>
          <w:spacing w:val="-6"/>
          <w:sz w:val="28"/>
          <w:szCs w:val="28"/>
        </w:rPr>
      </w:pPr>
      <w:r w:rsidRPr="00F60B97">
        <w:rPr>
          <w:rFonts w:ascii="Times New Roman" w:eastAsia="Calibri" w:hAnsi="Times New Roman" w:cs="Times New Roman"/>
          <w:spacing w:val="-6"/>
          <w:sz w:val="28"/>
          <w:szCs w:val="28"/>
        </w:rPr>
        <w:t xml:space="preserve">Завершающими характеристиками данной отрасли, выступили процентные параметры встречаемости сопутствующих заболеваний у исследуемых групп и исход COVID-19. Сопутствующие патологии распределились прямо пропорционально высоте регионов у исследуемых. В условиях высокогорья 63,3% отмечали наличие сопутствующих патологии, среднегорье – 57,4% и 45,7% в </w:t>
      </w:r>
      <w:r w:rsidRPr="00F60B97">
        <w:rPr>
          <w:rFonts w:ascii="Times New Roman" w:eastAsia="Calibri" w:hAnsi="Times New Roman" w:cs="Times New Roman"/>
          <w:spacing w:val="-6"/>
          <w:sz w:val="28"/>
          <w:szCs w:val="28"/>
        </w:rPr>
        <w:lastRenderedPageBreak/>
        <w:t>низкогорье соответственно. Данное распределение, указывает на возрастную неравномерность исследуемых в группах как первичный фактор, так вторичным фактором выступает суровый климат высокогорного региона.</w:t>
      </w:r>
    </w:p>
    <w:p w:rsidR="00F60B97" w:rsidRDefault="00F60B97" w:rsidP="007732E8">
      <w:pPr>
        <w:spacing w:after="0" w:line="360" w:lineRule="auto"/>
        <w:jc w:val="center"/>
        <w:rPr>
          <w:rFonts w:ascii="Times New Roman" w:eastAsia="Calibri" w:hAnsi="Times New Roman" w:cs="Times New Roman"/>
          <w:sz w:val="28"/>
          <w:szCs w:val="28"/>
        </w:rPr>
      </w:pPr>
      <w:r w:rsidRPr="00F60B97">
        <w:rPr>
          <w:rFonts w:ascii="Calibri" w:eastAsia="Calibri" w:hAnsi="Calibri" w:cs="Times New Roman"/>
          <w:noProof/>
          <w:spacing w:val="-6"/>
          <w:lang w:eastAsia="ru-RU"/>
        </w:rPr>
        <w:drawing>
          <wp:anchor distT="0" distB="0" distL="114300" distR="114300" simplePos="0" relativeHeight="251659264" behindDoc="1" locked="0" layoutInCell="1" allowOverlap="1" wp14:anchorId="256E2F43" wp14:editId="0F17E340">
            <wp:simplePos x="0" y="0"/>
            <wp:positionH relativeFrom="margin">
              <wp:posOffset>166370</wp:posOffset>
            </wp:positionH>
            <wp:positionV relativeFrom="paragraph">
              <wp:posOffset>120015</wp:posOffset>
            </wp:positionV>
            <wp:extent cx="5814060" cy="3695700"/>
            <wp:effectExtent l="0" t="0" r="0" b="0"/>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l="18674" t="15616" r="23811" b="19391"/>
                    <a:stretch>
                      <a:fillRect/>
                    </a:stretch>
                  </pic:blipFill>
                  <pic:spPr bwMode="auto">
                    <a:xfrm>
                      <a:off x="0" y="0"/>
                      <a:ext cx="5814060" cy="3695700"/>
                    </a:xfrm>
                    <a:prstGeom prst="rect">
                      <a:avLst/>
                    </a:prstGeom>
                    <a:noFill/>
                  </pic:spPr>
                </pic:pic>
              </a:graphicData>
            </a:graphic>
            <wp14:sizeRelH relativeFrom="margin">
              <wp14:pctWidth>0</wp14:pctWidth>
            </wp14:sizeRelH>
            <wp14:sizeRelV relativeFrom="margin">
              <wp14:pctHeight>0</wp14:pctHeight>
            </wp14:sizeRelV>
          </wp:anchor>
        </w:drawing>
      </w:r>
    </w:p>
    <w:p w:rsidR="00F60B97" w:rsidRDefault="00F60B97" w:rsidP="007732E8">
      <w:pPr>
        <w:spacing w:after="0" w:line="360" w:lineRule="auto"/>
        <w:jc w:val="center"/>
        <w:rPr>
          <w:rFonts w:ascii="Times New Roman" w:eastAsia="Calibri" w:hAnsi="Times New Roman" w:cs="Times New Roman"/>
          <w:sz w:val="28"/>
          <w:szCs w:val="28"/>
        </w:rPr>
      </w:pPr>
    </w:p>
    <w:p w:rsidR="00F60B97" w:rsidRDefault="00F60B97" w:rsidP="007732E8">
      <w:pPr>
        <w:spacing w:after="0" w:line="360" w:lineRule="auto"/>
        <w:jc w:val="center"/>
        <w:rPr>
          <w:rFonts w:ascii="Times New Roman" w:eastAsia="Calibri" w:hAnsi="Times New Roman" w:cs="Times New Roman"/>
          <w:sz w:val="28"/>
          <w:szCs w:val="28"/>
        </w:rPr>
      </w:pPr>
    </w:p>
    <w:p w:rsidR="00F60B97" w:rsidRDefault="00F60B97" w:rsidP="007732E8">
      <w:pPr>
        <w:spacing w:after="0" w:line="360" w:lineRule="auto"/>
        <w:jc w:val="center"/>
        <w:rPr>
          <w:rFonts w:ascii="Times New Roman" w:eastAsia="Calibri" w:hAnsi="Times New Roman" w:cs="Times New Roman"/>
          <w:sz w:val="28"/>
          <w:szCs w:val="28"/>
        </w:rPr>
      </w:pPr>
    </w:p>
    <w:p w:rsidR="00F60B97" w:rsidRDefault="00F60B97" w:rsidP="007732E8">
      <w:pPr>
        <w:spacing w:after="0" w:line="360" w:lineRule="auto"/>
        <w:jc w:val="center"/>
        <w:rPr>
          <w:rFonts w:ascii="Times New Roman" w:eastAsia="Calibri" w:hAnsi="Times New Roman" w:cs="Times New Roman"/>
          <w:sz w:val="28"/>
          <w:szCs w:val="28"/>
        </w:rPr>
      </w:pPr>
    </w:p>
    <w:p w:rsidR="00F60B97" w:rsidRDefault="00F60B97" w:rsidP="007732E8">
      <w:pPr>
        <w:spacing w:after="0" w:line="360" w:lineRule="auto"/>
        <w:jc w:val="center"/>
        <w:rPr>
          <w:rFonts w:ascii="Times New Roman" w:eastAsia="Calibri" w:hAnsi="Times New Roman" w:cs="Times New Roman"/>
          <w:sz w:val="28"/>
          <w:szCs w:val="28"/>
        </w:rPr>
      </w:pPr>
    </w:p>
    <w:p w:rsidR="00F60B97" w:rsidRDefault="00F60B97" w:rsidP="007732E8">
      <w:pPr>
        <w:spacing w:after="0" w:line="360" w:lineRule="auto"/>
        <w:jc w:val="center"/>
        <w:rPr>
          <w:rFonts w:ascii="Times New Roman" w:eastAsia="Calibri" w:hAnsi="Times New Roman" w:cs="Times New Roman"/>
          <w:sz w:val="28"/>
          <w:szCs w:val="28"/>
        </w:rPr>
      </w:pPr>
    </w:p>
    <w:p w:rsidR="00F60B97" w:rsidRDefault="00F60B97" w:rsidP="007732E8">
      <w:pPr>
        <w:spacing w:after="0" w:line="360" w:lineRule="auto"/>
        <w:jc w:val="center"/>
        <w:rPr>
          <w:rFonts w:ascii="Times New Roman" w:eastAsia="Calibri" w:hAnsi="Times New Roman" w:cs="Times New Roman"/>
          <w:sz w:val="28"/>
          <w:szCs w:val="28"/>
        </w:rPr>
      </w:pPr>
    </w:p>
    <w:p w:rsidR="00F60B97" w:rsidRDefault="00F60B97" w:rsidP="007732E8">
      <w:pPr>
        <w:spacing w:after="0" w:line="360" w:lineRule="auto"/>
        <w:jc w:val="center"/>
        <w:rPr>
          <w:rFonts w:ascii="Times New Roman" w:eastAsia="Calibri" w:hAnsi="Times New Roman" w:cs="Times New Roman"/>
          <w:sz w:val="28"/>
          <w:szCs w:val="28"/>
        </w:rPr>
      </w:pPr>
    </w:p>
    <w:p w:rsidR="00F60B97" w:rsidRDefault="00F60B97" w:rsidP="007732E8">
      <w:pPr>
        <w:spacing w:after="0" w:line="360" w:lineRule="auto"/>
        <w:jc w:val="center"/>
        <w:rPr>
          <w:rFonts w:ascii="Times New Roman" w:eastAsia="Calibri" w:hAnsi="Times New Roman" w:cs="Times New Roman"/>
          <w:sz w:val="28"/>
          <w:szCs w:val="28"/>
        </w:rPr>
      </w:pPr>
    </w:p>
    <w:p w:rsidR="00F60B97" w:rsidRDefault="00F60B97" w:rsidP="007732E8">
      <w:pPr>
        <w:spacing w:after="0" w:line="360" w:lineRule="auto"/>
        <w:jc w:val="center"/>
        <w:rPr>
          <w:rFonts w:ascii="Times New Roman" w:eastAsia="Calibri" w:hAnsi="Times New Roman" w:cs="Times New Roman"/>
          <w:sz w:val="28"/>
          <w:szCs w:val="28"/>
        </w:rPr>
      </w:pPr>
    </w:p>
    <w:p w:rsidR="00F60B97" w:rsidRDefault="00F60B97" w:rsidP="007732E8">
      <w:pPr>
        <w:spacing w:after="0" w:line="360" w:lineRule="auto"/>
        <w:jc w:val="center"/>
        <w:rPr>
          <w:rFonts w:ascii="Times New Roman" w:eastAsia="Calibri" w:hAnsi="Times New Roman" w:cs="Times New Roman"/>
          <w:sz w:val="28"/>
          <w:szCs w:val="28"/>
        </w:rPr>
      </w:pP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Times New Roman" w:eastAsia="Calibri" w:hAnsi="Times New Roman" w:cs="Times New Roman"/>
          <w:sz w:val="28"/>
          <w:szCs w:val="28"/>
        </w:rPr>
        <w:t>Рисунок 3.2.1.2</w:t>
      </w:r>
      <w:r w:rsidR="00F60B97">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Оценка клинического течения патологии легких в период заболевания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 (Часть 1).</w:t>
      </w:r>
    </w:p>
    <w:p w:rsidR="003D4E8F" w:rsidRDefault="003D4E8F" w:rsidP="007732E8">
      <w:pPr>
        <w:spacing w:after="0" w:line="360" w:lineRule="auto"/>
        <w:jc w:val="both"/>
        <w:rPr>
          <w:rFonts w:ascii="Times New Roman" w:eastAsia="Calibri" w:hAnsi="Times New Roman" w:cs="Times New Roman"/>
          <w:sz w:val="28"/>
          <w:szCs w:val="28"/>
        </w:rPr>
      </w:pPr>
    </w:p>
    <w:p w:rsidR="007732E8" w:rsidRPr="007732E8" w:rsidRDefault="007732E8" w:rsidP="00BA5CCC">
      <w:pPr>
        <w:spacing w:after="0" w:line="360" w:lineRule="auto"/>
        <w:ind w:firstLine="567"/>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Интегрированные значения симптомов COVID-19 в исследуемых регионах, в аспекте проявления и последующим изменениям составили: кашель и одышка.  Так, кашель как неспецифический признак COVID-19, в момент обращения проявлялся у абсолютного числа исследуемых, с медленной последующие регрессией. Указанный симптом, на третий сутки незначительно но равномерно имеет тенденцию к снижению во всех группах. На пятые сутки, заметно значительное понижение симптоматики в группах среднегорья и низкогорья, тогда как в высокогорье, кашель несущественно отличался от предыдущего дня контрольной регистрации. Эффект данного формата, указывает на торможении или замедление перехода к реконвалесценции у пациентов в условиях высокогорного климата. На седьмые сутки наблюдения, разрыв между группами снова имел незначительную вариацию друг от друга, </w:t>
      </w:r>
      <w:r w:rsidRPr="007732E8">
        <w:rPr>
          <w:rFonts w:ascii="Times New Roman" w:eastAsia="Calibri" w:hAnsi="Times New Roman" w:cs="Times New Roman"/>
          <w:sz w:val="28"/>
          <w:szCs w:val="28"/>
        </w:rPr>
        <w:lastRenderedPageBreak/>
        <w:t xml:space="preserve">со существенной количественной разницей с первым днём регистрации симптома. Десятые и последующие сутки, кашель регрессировал медленно, характеризуясь увеличением доли реконвалисцентов на 5% от общего числа исследуемых во всех указанных группах. </w:t>
      </w:r>
    </w:p>
    <w:p w:rsidR="007732E8" w:rsidRPr="007732E8" w:rsidRDefault="007732E8" w:rsidP="00BA5CCC">
      <w:pPr>
        <w:spacing w:after="0" w:line="360" w:lineRule="auto"/>
        <w:ind w:firstLine="567"/>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Одышка, как базовый механизм компенсации гипоксии, в момент поступления регистрировался чаще всего у пациентов из высокогорного региона, так как среднегорье указанный симптом был редко встречающимся и в низкогорье – с аналогичным проявлением. Зарегистрированный дисбаланс в проявлении одышки, сохраняется до седьмого дня с медленной регрессии в период от первого до пятого дня. Указанный параметр, имел тенденцию к стабилизации в средне – и низкогорном регионах начиная с пятых суток заболевания. Что говорит о включении эффективности терапии и уровня восприимчивость организма к терапевтическому подходу, тогда как у исследуемых из высокогорного региона, стабилизация наблюдалась на седьмые сутки наблюдения. В последующие дни наблюдения, регрессия симптомов наблюдалось у 3% пациентов каждые двое суток наблюдение во всех указанных группах.</w:t>
      </w: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Calibri" w:eastAsia="Calibri" w:hAnsi="Calibri" w:cs="Times New Roman"/>
          <w:noProof/>
          <w:lang w:eastAsia="ru-RU"/>
        </w:rPr>
        <w:drawing>
          <wp:inline distT="0" distB="0" distL="0" distR="0" wp14:anchorId="389036C0" wp14:editId="0F9124A4">
            <wp:extent cx="5654040" cy="3497580"/>
            <wp:effectExtent l="0" t="0" r="3810" b="762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l="19048" t="16821" r="23062" b="19440"/>
                    <a:stretch>
                      <a:fillRect/>
                    </a:stretch>
                  </pic:blipFill>
                  <pic:spPr bwMode="auto">
                    <a:xfrm>
                      <a:off x="0" y="0"/>
                      <a:ext cx="5654040" cy="3497580"/>
                    </a:xfrm>
                    <a:prstGeom prst="rect">
                      <a:avLst/>
                    </a:prstGeom>
                    <a:noFill/>
                    <a:ln>
                      <a:noFill/>
                    </a:ln>
                  </pic:spPr>
                </pic:pic>
              </a:graphicData>
            </a:graphic>
          </wp:inline>
        </w:drawing>
      </w: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Times New Roman" w:eastAsia="Calibri" w:hAnsi="Times New Roman" w:cs="Times New Roman"/>
          <w:sz w:val="28"/>
          <w:szCs w:val="28"/>
        </w:rPr>
        <w:lastRenderedPageBreak/>
        <w:t>Рисунок 3.2.1.3</w:t>
      </w:r>
      <w:r w:rsidR="00F60B97">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Оценка клинического течения патологии легких в период заболевания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 (Часть 2).</w:t>
      </w:r>
    </w:p>
    <w:p w:rsidR="003D4E8F" w:rsidRDefault="003D4E8F" w:rsidP="007732E8">
      <w:pPr>
        <w:spacing w:after="0" w:line="360" w:lineRule="auto"/>
        <w:jc w:val="both"/>
        <w:rPr>
          <w:rFonts w:ascii="Times New Roman" w:eastAsia="Calibri" w:hAnsi="Times New Roman" w:cs="Times New Roman"/>
          <w:sz w:val="28"/>
          <w:szCs w:val="28"/>
        </w:rPr>
      </w:pPr>
    </w:p>
    <w:p w:rsidR="007732E8" w:rsidRDefault="007732E8" w:rsidP="00BA5CCC">
      <w:pPr>
        <w:spacing w:after="0" w:line="360" w:lineRule="auto"/>
        <w:ind w:firstLine="567"/>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Продолжением предыдущей диаграммы, мы отразили в графике проявления интоксикации, наличие хрипов и более в грудной клетке у исследуемых групп. Общая черта в динамике прогрессии/регрессии указанных симптомов явилось прямое нисхождение значений с шагом в 7% от общего числа выявленных случаев каждые двое суток наблюдения. Указанная динамика сохранялась до седьмых суток. После седьмых суток, мы наблюдали замедление регрессии, что свидетельствует о отягощении заболеваний оставшихся пациентов и последующей длительной реконвалисценцией соответственно. Касательно распределения, указанных симптомов в аспекте климатического региона, то во всех случаях высокогорье занимает лидирующие позиции в период промежуточных регистраций данных.</w:t>
      </w:r>
    </w:p>
    <w:p w:rsidR="003D4E8F" w:rsidRDefault="003D4E8F" w:rsidP="003D4E8F">
      <w:pPr>
        <w:spacing w:after="0" w:line="360" w:lineRule="auto"/>
        <w:ind w:firstLine="709"/>
        <w:jc w:val="both"/>
        <w:rPr>
          <w:rFonts w:ascii="Times New Roman" w:eastAsia="Calibri" w:hAnsi="Times New Roman" w:cs="Times New Roman"/>
          <w:sz w:val="28"/>
          <w:szCs w:val="28"/>
        </w:rPr>
      </w:pPr>
    </w:p>
    <w:p w:rsidR="003D4E8F" w:rsidRDefault="003D4E8F" w:rsidP="003D4E8F">
      <w:pPr>
        <w:spacing w:after="0" w:line="360" w:lineRule="auto"/>
        <w:ind w:firstLine="709"/>
        <w:jc w:val="both"/>
        <w:rPr>
          <w:rFonts w:ascii="Times New Roman" w:eastAsia="Calibri" w:hAnsi="Times New Roman" w:cs="Times New Roman"/>
          <w:sz w:val="28"/>
          <w:szCs w:val="28"/>
        </w:rPr>
      </w:pPr>
    </w:p>
    <w:p w:rsidR="003D4E8F" w:rsidRPr="007732E8" w:rsidRDefault="003D4E8F" w:rsidP="003D4E8F">
      <w:pPr>
        <w:spacing w:after="0" w:line="360" w:lineRule="auto"/>
        <w:ind w:firstLine="709"/>
        <w:jc w:val="both"/>
        <w:rPr>
          <w:rFonts w:ascii="Times New Roman" w:eastAsia="Calibri" w:hAnsi="Times New Roman" w:cs="Times New Roman"/>
          <w:sz w:val="28"/>
          <w:szCs w:val="28"/>
        </w:rPr>
      </w:pPr>
    </w:p>
    <w:p w:rsidR="007732E8" w:rsidRPr="003D4E8F" w:rsidRDefault="007732E8" w:rsidP="00BA5CCC">
      <w:pPr>
        <w:spacing w:after="0" w:line="360" w:lineRule="auto"/>
        <w:ind w:firstLine="567"/>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3.2.2. Особенности проявления базовых объективных показателей состояния организма пациентов с </w:t>
      </w:r>
      <w:r w:rsidRPr="007732E8">
        <w:rPr>
          <w:rFonts w:ascii="Times New Roman" w:eastAsia="Calibri" w:hAnsi="Times New Roman" w:cs="Times New Roman"/>
          <w:b/>
          <w:sz w:val="28"/>
          <w:szCs w:val="28"/>
          <w:lang w:val="en-US"/>
        </w:rPr>
        <w:t>COVID</w:t>
      </w:r>
      <w:r w:rsidRPr="007732E8">
        <w:rPr>
          <w:rFonts w:ascii="Times New Roman" w:eastAsia="Calibri" w:hAnsi="Times New Roman" w:cs="Times New Roman"/>
          <w:b/>
          <w:sz w:val="28"/>
          <w:szCs w:val="28"/>
        </w:rPr>
        <w:t>-19 в условиях н</w:t>
      </w:r>
      <w:r w:rsidR="003D4E8F">
        <w:rPr>
          <w:rFonts w:ascii="Times New Roman" w:eastAsia="Calibri" w:hAnsi="Times New Roman" w:cs="Times New Roman"/>
          <w:b/>
          <w:sz w:val="28"/>
          <w:szCs w:val="28"/>
        </w:rPr>
        <w:t>изко-, средне- и высокогорья.</w:t>
      </w:r>
    </w:p>
    <w:tbl>
      <w:tblPr>
        <w:tblStyle w:val="12"/>
        <w:tblpPr w:leftFromText="180" w:rightFromText="180" w:vertAnchor="page" w:horzAnchor="margin" w:tblpY="5653"/>
        <w:tblW w:w="10064" w:type="dxa"/>
        <w:tblLayout w:type="fixed"/>
        <w:tblLook w:val="04A0" w:firstRow="1" w:lastRow="0" w:firstColumn="1" w:lastColumn="0" w:noHBand="0" w:noVBand="1"/>
      </w:tblPr>
      <w:tblGrid>
        <w:gridCol w:w="472"/>
        <w:gridCol w:w="2559"/>
        <w:gridCol w:w="1793"/>
        <w:gridCol w:w="1792"/>
        <w:gridCol w:w="1793"/>
        <w:gridCol w:w="1655"/>
      </w:tblGrid>
      <w:tr w:rsidR="007732E8" w:rsidRPr="007732E8" w:rsidTr="003D4E8F">
        <w:trPr>
          <w:trHeight w:val="432"/>
        </w:trPr>
        <w:tc>
          <w:tcPr>
            <w:tcW w:w="472"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w:t>
            </w:r>
          </w:p>
        </w:tc>
        <w:tc>
          <w:tcPr>
            <w:tcW w:w="2559"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Показатель</w:t>
            </w:r>
          </w:p>
        </w:tc>
        <w:tc>
          <w:tcPr>
            <w:tcW w:w="1793"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Низкогорье</w:t>
            </w:r>
          </w:p>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(n</w:t>
            </w:r>
            <w:r w:rsidRPr="007732E8">
              <w:rPr>
                <w:rFonts w:ascii="Times New Roman" w:hAnsi="Times New Roman"/>
                <w:sz w:val="28"/>
                <w:szCs w:val="28"/>
              </w:rPr>
              <w:t>=</w:t>
            </w:r>
            <w:r w:rsidRPr="007732E8">
              <w:rPr>
                <w:rFonts w:ascii="Times New Roman" w:hAnsi="Times New Roman"/>
                <w:sz w:val="28"/>
                <w:szCs w:val="28"/>
                <w:lang w:val="en-US"/>
              </w:rPr>
              <w:t>2</w:t>
            </w:r>
            <w:r w:rsidRPr="007732E8">
              <w:rPr>
                <w:rFonts w:ascii="Times New Roman" w:hAnsi="Times New Roman"/>
                <w:sz w:val="28"/>
                <w:szCs w:val="28"/>
              </w:rPr>
              <w:t>00</w:t>
            </w:r>
            <w:r w:rsidRPr="007732E8">
              <w:rPr>
                <w:rFonts w:ascii="Times New Roman" w:hAnsi="Times New Roman"/>
                <w:sz w:val="28"/>
                <w:szCs w:val="28"/>
                <w:lang w:val="en-US"/>
              </w:rPr>
              <w:t xml:space="preserve">) </w:t>
            </w:r>
          </w:p>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lang w:val="en-US"/>
              </w:rPr>
              <w:t>a</w:t>
            </w:r>
          </w:p>
        </w:tc>
        <w:tc>
          <w:tcPr>
            <w:tcW w:w="1792"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Среднегорье</w:t>
            </w:r>
          </w:p>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(n</w:t>
            </w:r>
            <w:r w:rsidRPr="007732E8">
              <w:rPr>
                <w:rFonts w:ascii="Times New Roman" w:hAnsi="Times New Roman"/>
                <w:sz w:val="28"/>
                <w:szCs w:val="28"/>
              </w:rPr>
              <w:t>=</w:t>
            </w:r>
            <w:r w:rsidRPr="007732E8">
              <w:rPr>
                <w:rFonts w:ascii="Times New Roman" w:hAnsi="Times New Roman"/>
                <w:sz w:val="28"/>
                <w:szCs w:val="28"/>
                <w:lang w:val="en-US"/>
              </w:rPr>
              <w:t>2</w:t>
            </w:r>
            <w:r w:rsidRPr="007732E8">
              <w:rPr>
                <w:rFonts w:ascii="Times New Roman" w:hAnsi="Times New Roman"/>
                <w:sz w:val="28"/>
                <w:szCs w:val="28"/>
              </w:rPr>
              <w:t>00</w:t>
            </w:r>
            <w:r w:rsidRPr="007732E8">
              <w:rPr>
                <w:rFonts w:ascii="Times New Roman" w:hAnsi="Times New Roman"/>
                <w:sz w:val="28"/>
                <w:szCs w:val="28"/>
                <w:lang w:val="en-US"/>
              </w:rPr>
              <w:t xml:space="preserve">) </w:t>
            </w:r>
          </w:p>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lang w:val="en-US"/>
              </w:rPr>
              <w:t>b</w:t>
            </w:r>
          </w:p>
        </w:tc>
        <w:tc>
          <w:tcPr>
            <w:tcW w:w="1793"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Высокогорье</w:t>
            </w:r>
          </w:p>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(n</w:t>
            </w:r>
            <w:r w:rsidRPr="007732E8">
              <w:rPr>
                <w:rFonts w:ascii="Times New Roman" w:hAnsi="Times New Roman"/>
                <w:sz w:val="28"/>
                <w:szCs w:val="28"/>
              </w:rPr>
              <w:t>=</w:t>
            </w:r>
            <w:r w:rsidRPr="007732E8">
              <w:rPr>
                <w:rFonts w:ascii="Times New Roman" w:hAnsi="Times New Roman"/>
                <w:sz w:val="28"/>
                <w:szCs w:val="28"/>
                <w:lang w:val="en-US"/>
              </w:rPr>
              <w:t>2</w:t>
            </w:r>
            <w:r w:rsidRPr="007732E8">
              <w:rPr>
                <w:rFonts w:ascii="Times New Roman" w:hAnsi="Times New Roman"/>
                <w:sz w:val="28"/>
                <w:szCs w:val="28"/>
              </w:rPr>
              <w:t>00</w:t>
            </w:r>
            <w:r w:rsidRPr="007732E8">
              <w:rPr>
                <w:rFonts w:ascii="Times New Roman" w:hAnsi="Times New Roman"/>
                <w:sz w:val="28"/>
                <w:szCs w:val="28"/>
                <w:lang w:val="en-US"/>
              </w:rPr>
              <w:t xml:space="preserve">) </w:t>
            </w:r>
          </w:p>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lang w:val="en-US"/>
              </w:rPr>
              <w:t>c</w:t>
            </w:r>
          </w:p>
        </w:tc>
        <w:tc>
          <w:tcPr>
            <w:tcW w:w="1655"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lang w:val="en-US"/>
              </w:rPr>
              <w:t>p</w:t>
            </w:r>
          </w:p>
        </w:tc>
      </w:tr>
      <w:tr w:rsidR="007732E8" w:rsidRPr="000D1F9B" w:rsidTr="003D4E8F">
        <w:trPr>
          <w:trHeight w:val="451"/>
        </w:trPr>
        <w:tc>
          <w:tcPr>
            <w:tcW w:w="472"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lastRenderedPageBreak/>
              <w:t>1</w:t>
            </w:r>
          </w:p>
        </w:tc>
        <w:tc>
          <w:tcPr>
            <w:tcW w:w="2559"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eastAsia="Times New Roman" w:hAnsi="Times New Roman"/>
                <w:sz w:val="28"/>
                <w:szCs w:val="28"/>
              </w:rPr>
              <w:t>ЧСС (ударов в минуту)</w:t>
            </w:r>
          </w:p>
        </w:tc>
        <w:tc>
          <w:tcPr>
            <w:tcW w:w="1793"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81.3±2.319</w:t>
            </w:r>
          </w:p>
        </w:tc>
        <w:tc>
          <w:tcPr>
            <w:tcW w:w="1792"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88.1±2.387</w:t>
            </w:r>
          </w:p>
        </w:tc>
        <w:tc>
          <w:tcPr>
            <w:tcW w:w="1793"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78.4±2.294</w:t>
            </w:r>
          </w:p>
        </w:tc>
        <w:tc>
          <w:tcPr>
            <w:tcW w:w="1655"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p(a\b)-0.04</w:t>
            </w:r>
          </w:p>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p(b\c)˂0.05</w:t>
            </w:r>
          </w:p>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p(a\c)-0.4</w:t>
            </w:r>
          </w:p>
        </w:tc>
      </w:tr>
      <w:tr w:rsidR="007732E8" w:rsidRPr="007732E8" w:rsidTr="003D4E8F">
        <w:trPr>
          <w:trHeight w:val="432"/>
        </w:trPr>
        <w:tc>
          <w:tcPr>
            <w:tcW w:w="472"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2</w:t>
            </w:r>
          </w:p>
        </w:tc>
        <w:tc>
          <w:tcPr>
            <w:tcW w:w="2559"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eastAsia="Times New Roman" w:hAnsi="Times New Roman"/>
                <w:sz w:val="28"/>
                <w:szCs w:val="28"/>
              </w:rPr>
              <w:t>ЧДД (дыхательных движений в минуту)</w:t>
            </w:r>
          </w:p>
        </w:tc>
        <w:tc>
          <w:tcPr>
            <w:tcW w:w="1793"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16.3±1.013</w:t>
            </w:r>
          </w:p>
        </w:tc>
        <w:tc>
          <w:tcPr>
            <w:tcW w:w="1792"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17.4±1.021</w:t>
            </w:r>
          </w:p>
        </w:tc>
        <w:tc>
          <w:tcPr>
            <w:tcW w:w="1793"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18.1±1.038</w:t>
            </w:r>
          </w:p>
        </w:tc>
        <w:tc>
          <w:tcPr>
            <w:tcW w:w="1655"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p(a\b)-0.44</w:t>
            </w:r>
          </w:p>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lang w:val="en-US"/>
              </w:rPr>
              <w:t>p(b\c)-</w:t>
            </w:r>
            <w:r w:rsidRPr="007732E8">
              <w:rPr>
                <w:rFonts w:ascii="Times New Roman" w:hAnsi="Times New Roman"/>
                <w:sz w:val="28"/>
                <w:szCs w:val="28"/>
              </w:rPr>
              <w:t>0.63</w:t>
            </w:r>
          </w:p>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lang w:val="en-US"/>
              </w:rPr>
              <w:t>p(a\c)</w:t>
            </w:r>
            <w:r w:rsidRPr="007732E8">
              <w:rPr>
                <w:rFonts w:ascii="Times New Roman" w:hAnsi="Times New Roman"/>
                <w:sz w:val="28"/>
                <w:szCs w:val="28"/>
              </w:rPr>
              <w:t>-0.23</w:t>
            </w:r>
          </w:p>
        </w:tc>
      </w:tr>
      <w:tr w:rsidR="007732E8" w:rsidRPr="000D1F9B" w:rsidTr="003D4E8F">
        <w:trPr>
          <w:trHeight w:val="432"/>
        </w:trPr>
        <w:tc>
          <w:tcPr>
            <w:tcW w:w="472"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3</w:t>
            </w:r>
          </w:p>
        </w:tc>
        <w:tc>
          <w:tcPr>
            <w:tcW w:w="2559"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eastAsia="Times New Roman" w:hAnsi="Times New Roman"/>
                <w:sz w:val="28"/>
                <w:szCs w:val="28"/>
              </w:rPr>
              <w:t>Сатурация (%)</w:t>
            </w:r>
          </w:p>
        </w:tc>
        <w:tc>
          <w:tcPr>
            <w:tcW w:w="1793"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95.3±1.174</w:t>
            </w:r>
          </w:p>
        </w:tc>
        <w:tc>
          <w:tcPr>
            <w:tcW w:w="1792"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93.8±1.168</w:t>
            </w:r>
          </w:p>
        </w:tc>
        <w:tc>
          <w:tcPr>
            <w:tcW w:w="1793"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90.1±1.141</w:t>
            </w:r>
          </w:p>
        </w:tc>
        <w:tc>
          <w:tcPr>
            <w:tcW w:w="1655"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p(a\b)-0.36</w:t>
            </w:r>
          </w:p>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p(b\c)˂0.05</w:t>
            </w:r>
          </w:p>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7732E8" w:rsidRPr="000D1F9B" w:rsidTr="003D4E8F">
        <w:trPr>
          <w:trHeight w:val="432"/>
        </w:trPr>
        <w:tc>
          <w:tcPr>
            <w:tcW w:w="472"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4</w:t>
            </w:r>
          </w:p>
        </w:tc>
        <w:tc>
          <w:tcPr>
            <w:tcW w:w="2559"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eastAsia="Times New Roman" w:hAnsi="Times New Roman"/>
                <w:sz w:val="28"/>
                <w:szCs w:val="28"/>
              </w:rPr>
              <w:t>САД (мм.рт.ст)</w:t>
            </w:r>
          </w:p>
        </w:tc>
        <w:tc>
          <w:tcPr>
            <w:tcW w:w="1793"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108.4±2.131</w:t>
            </w:r>
          </w:p>
        </w:tc>
        <w:tc>
          <w:tcPr>
            <w:tcW w:w="1792"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b/>
                <w:bCs/>
                <w:sz w:val="28"/>
                <w:szCs w:val="28"/>
              </w:rPr>
            </w:pPr>
            <w:r w:rsidRPr="007732E8">
              <w:rPr>
                <w:rFonts w:ascii="Times New Roman" w:hAnsi="Times New Roman"/>
                <w:sz w:val="28"/>
                <w:szCs w:val="28"/>
              </w:rPr>
              <w:t>112.9±1.916</w:t>
            </w:r>
          </w:p>
        </w:tc>
        <w:tc>
          <w:tcPr>
            <w:tcW w:w="1793"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124.7±2.037</w:t>
            </w:r>
          </w:p>
        </w:tc>
        <w:tc>
          <w:tcPr>
            <w:tcW w:w="1655"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p(a\b)-0.066</w:t>
            </w:r>
          </w:p>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p(b\c)˂0.05</w:t>
            </w:r>
          </w:p>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7732E8" w:rsidRPr="000D1F9B" w:rsidTr="003D4E8F">
        <w:trPr>
          <w:trHeight w:val="432"/>
        </w:trPr>
        <w:tc>
          <w:tcPr>
            <w:tcW w:w="472"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5</w:t>
            </w:r>
          </w:p>
        </w:tc>
        <w:tc>
          <w:tcPr>
            <w:tcW w:w="2559"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eastAsia="Times New Roman" w:hAnsi="Times New Roman"/>
                <w:sz w:val="28"/>
                <w:szCs w:val="28"/>
              </w:rPr>
              <w:t>ДАД (мм.рт.ст)</w:t>
            </w:r>
          </w:p>
        </w:tc>
        <w:tc>
          <w:tcPr>
            <w:tcW w:w="1793"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59.7±1.478</w:t>
            </w:r>
          </w:p>
        </w:tc>
        <w:tc>
          <w:tcPr>
            <w:tcW w:w="1792"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61.3±1.402</w:t>
            </w:r>
          </w:p>
        </w:tc>
        <w:tc>
          <w:tcPr>
            <w:tcW w:w="1793"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b/>
                <w:bCs/>
                <w:sz w:val="28"/>
                <w:szCs w:val="28"/>
              </w:rPr>
            </w:pPr>
            <w:r w:rsidRPr="007732E8">
              <w:rPr>
                <w:rFonts w:ascii="Times New Roman" w:hAnsi="Times New Roman"/>
                <w:sz w:val="28"/>
                <w:szCs w:val="28"/>
              </w:rPr>
              <w:t>67.7±1.519</w:t>
            </w:r>
          </w:p>
        </w:tc>
        <w:tc>
          <w:tcPr>
            <w:tcW w:w="1655"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p(a\b)-0.01</w:t>
            </w:r>
          </w:p>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p(b\c)˂0.05</w:t>
            </w:r>
          </w:p>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7732E8" w:rsidRPr="000D1F9B" w:rsidTr="003D4E8F">
        <w:trPr>
          <w:trHeight w:val="451"/>
        </w:trPr>
        <w:tc>
          <w:tcPr>
            <w:tcW w:w="472"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6</w:t>
            </w:r>
          </w:p>
        </w:tc>
        <w:tc>
          <w:tcPr>
            <w:tcW w:w="2559"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eastAsia="Times New Roman" w:hAnsi="Times New Roman"/>
                <w:sz w:val="28"/>
                <w:szCs w:val="28"/>
              </w:rPr>
              <w:t>ПАД (мм.рт.ст)</w:t>
            </w:r>
          </w:p>
        </w:tc>
        <w:tc>
          <w:tcPr>
            <w:tcW w:w="1793"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48.7±1.142</w:t>
            </w:r>
          </w:p>
        </w:tc>
        <w:tc>
          <w:tcPr>
            <w:tcW w:w="1792"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51.6±1.191</w:t>
            </w:r>
          </w:p>
        </w:tc>
        <w:tc>
          <w:tcPr>
            <w:tcW w:w="1793"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57.1±1.208</w:t>
            </w:r>
          </w:p>
        </w:tc>
        <w:tc>
          <w:tcPr>
            <w:tcW w:w="1655"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p(a\b)-0.08</w:t>
            </w:r>
          </w:p>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p(b\c)˂0.05</w:t>
            </w:r>
          </w:p>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7732E8" w:rsidRPr="000D1F9B" w:rsidTr="003D4E8F">
        <w:trPr>
          <w:trHeight w:val="451"/>
        </w:trPr>
        <w:tc>
          <w:tcPr>
            <w:tcW w:w="472"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7</w:t>
            </w:r>
          </w:p>
        </w:tc>
        <w:tc>
          <w:tcPr>
            <w:tcW w:w="2559"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eastAsia="Times New Roman" w:hAnsi="Times New Roman"/>
                <w:sz w:val="28"/>
                <w:szCs w:val="28"/>
              </w:rPr>
              <w:t>ИМТ</w:t>
            </w:r>
          </w:p>
        </w:tc>
        <w:tc>
          <w:tcPr>
            <w:tcW w:w="1793"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28.4±0.118</w:t>
            </w:r>
          </w:p>
        </w:tc>
        <w:tc>
          <w:tcPr>
            <w:tcW w:w="1792"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27.8±0.127</w:t>
            </w:r>
          </w:p>
        </w:tc>
        <w:tc>
          <w:tcPr>
            <w:tcW w:w="1793"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rPr>
            </w:pPr>
            <w:r w:rsidRPr="007732E8">
              <w:rPr>
                <w:rFonts w:ascii="Times New Roman" w:hAnsi="Times New Roman"/>
                <w:sz w:val="28"/>
                <w:szCs w:val="28"/>
              </w:rPr>
              <w:t>30.1±0.132</w:t>
            </w:r>
          </w:p>
        </w:tc>
        <w:tc>
          <w:tcPr>
            <w:tcW w:w="1655" w:type="dxa"/>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p(a\b)˂0.05</w:t>
            </w:r>
          </w:p>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p(b\c)˂0.05</w:t>
            </w:r>
          </w:p>
          <w:p w:rsidR="007732E8" w:rsidRPr="007732E8" w:rsidRDefault="007732E8" w:rsidP="003D4E8F">
            <w:pPr>
              <w:jc w:val="center"/>
              <w:rPr>
                <w:rFonts w:ascii="Times New Roman" w:hAnsi="Times New Roman"/>
                <w:sz w:val="28"/>
                <w:szCs w:val="28"/>
                <w:lang w:val="en-US"/>
              </w:rPr>
            </w:pPr>
            <w:r w:rsidRPr="007732E8">
              <w:rPr>
                <w:rFonts w:ascii="Times New Roman" w:hAnsi="Times New Roman"/>
                <w:sz w:val="28"/>
                <w:szCs w:val="28"/>
                <w:lang w:val="en-US"/>
              </w:rPr>
              <w:t>p(a\c)˂0.05</w:t>
            </w:r>
          </w:p>
        </w:tc>
      </w:tr>
    </w:tbl>
    <w:p w:rsidR="007732E8" w:rsidRDefault="007732E8" w:rsidP="007732E8">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Продолжая, описание результатов общей клинической когорты, в исследуемых группах, мы собрали данные по объективному состоянию организма выраженных в стандартных объективных данных.</w:t>
      </w:r>
    </w:p>
    <w:p w:rsidR="003D4E8F" w:rsidRPr="007732E8" w:rsidRDefault="003D4E8F" w:rsidP="007732E8">
      <w:pPr>
        <w:spacing w:after="0" w:line="360" w:lineRule="auto"/>
        <w:jc w:val="both"/>
        <w:rPr>
          <w:rFonts w:ascii="Times New Roman" w:eastAsia="Calibri" w:hAnsi="Times New Roman" w:cs="Times New Roman"/>
          <w:sz w:val="28"/>
          <w:szCs w:val="28"/>
        </w:rPr>
      </w:pPr>
    </w:p>
    <w:p w:rsidR="003D4E8F" w:rsidRPr="007732E8" w:rsidRDefault="003D4E8F" w:rsidP="003D4E8F">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Таблица 3.2.2.1</w:t>
      </w:r>
      <w:r w:rsidR="00BA5CCC">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Сравнительные  показатели общеклинического состояния  пациентов с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 в условия</w:t>
      </w:r>
      <w:r w:rsidR="00BA5CCC">
        <w:rPr>
          <w:rFonts w:ascii="Times New Roman" w:eastAsia="Calibri" w:hAnsi="Times New Roman" w:cs="Times New Roman"/>
          <w:sz w:val="28"/>
          <w:szCs w:val="28"/>
        </w:rPr>
        <w:t>х низко-, средне- и высокогорья</w:t>
      </w: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BA5CCC">
      <w:pPr>
        <w:spacing w:after="0" w:line="360" w:lineRule="auto"/>
        <w:ind w:firstLine="567"/>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Так частота сердечных сокращений у исследуемых в условиях высокогорье отличалось, брадикардия относительно низкогорья и незначимая разница относительно среднегорье, хотя и укладываюсь вариабельный норму. Артериальное давление у пациентов высокогорного региона достоверно выше относительно среднее – и низкогорья. Данный феномен, поведения компенсаторной функции сердечно-сосудистой системы в условиях высокогорья объясняется влиянием интоксикации в период разгара COVID-19. Статистическая достоверность в когорте исследуемых групп из высокогорья, сохраняется несмотря на влияние вышеуказанных факторов, что позволяет </w:t>
      </w:r>
      <w:r w:rsidRPr="007732E8">
        <w:rPr>
          <w:rFonts w:ascii="Times New Roman" w:eastAsia="Calibri" w:hAnsi="Times New Roman" w:cs="Times New Roman"/>
          <w:sz w:val="28"/>
          <w:szCs w:val="28"/>
        </w:rPr>
        <w:lastRenderedPageBreak/>
        <w:t xml:space="preserve">предположить постоянное и слабое влияние климата географического региона на компенсаторные механизмы организма их жителей. </w:t>
      </w:r>
    </w:p>
    <w:p w:rsidR="007732E8" w:rsidRPr="007732E8" w:rsidRDefault="007732E8" w:rsidP="003D4E8F">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Рассматривая позицию, уровня насыщенности кислородом крови в периферической крови, мы можем сказать, что климатическая особенность высокогорья (гипоксическая гипоксия) достоверно влияет на сатурация. Так, значение сатурации значительно ниже в высокогорье относительно низко – и среднегорье. Также, данное клиническое проявление может быть определяющим в оценке тяжести состояния больных COVID-19 в высокогорном регионе. </w:t>
      </w:r>
    </w:p>
    <w:p w:rsidR="007732E8" w:rsidRPr="007732E8" w:rsidRDefault="007732E8" w:rsidP="003D4E8F">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Частота дыхательных движений – как показатель обеспечения кислорода крови также как и ЧСС, САД, ДАД, ПАД и сатурации значительно повышена у пациентов в условиях высокогорья относительно других исследуемых групп. Активация дыхательных движений, в условиях высокогорья, ожидаемая реакция на приобретённую гипоксию, как проявление COVID-19, в сочетании с разреженным воздухом региона. </w:t>
      </w:r>
    </w:p>
    <w:p w:rsidR="007732E8" w:rsidRPr="007732E8" w:rsidRDefault="007732E8" w:rsidP="003D4E8F">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Во всех выше описанных параметрах, существенную когортную разницу выявили у пациентов из высокогорного региона, что наталкивает на суждения в области особенности патофизиологических механизмов. По нашему наблюдению, разрежённость окружающего воздуха в высокогорном регионе активирует компенсаторный механизмы и в момент включения SARS-CoV-2 как ведущего звена патологических механизмов, компенсаторная функция продолжает адаптироваться под влиянием приобретённых сложностей связанных с COVID-19. Когда дополнительный фактор отягощающий функционирование организма, можно считать индекс массы тела, показатели которой у исследуемых из высокогорного региона выше относительно</w:t>
      </w:r>
      <w:r w:rsidR="00BA5CCC">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других групп.</w:t>
      </w:r>
    </w:p>
    <w:p w:rsidR="007732E8" w:rsidRPr="007732E8" w:rsidRDefault="00BA5CCC" w:rsidP="007732E8">
      <w:pPr>
        <w:spacing w:after="0" w:line="360" w:lineRule="auto"/>
        <w:jc w:val="both"/>
        <w:rPr>
          <w:rFonts w:ascii="Times New Roman" w:eastAsia="Calibri" w:hAnsi="Times New Roman" w:cs="Times New Roman"/>
          <w:sz w:val="28"/>
          <w:szCs w:val="28"/>
        </w:rPr>
      </w:pPr>
      <w:r w:rsidRPr="007732E8">
        <w:rPr>
          <w:rFonts w:ascii="Calibri" w:eastAsia="Calibri" w:hAnsi="Calibri" w:cs="Times New Roman"/>
          <w:noProof/>
          <w:lang w:eastAsia="ru-RU"/>
        </w:rPr>
        <w:lastRenderedPageBreak/>
        <w:drawing>
          <wp:anchor distT="0" distB="0" distL="114300" distR="114300" simplePos="0" relativeHeight="251660288" behindDoc="0" locked="0" layoutInCell="1" allowOverlap="1" wp14:anchorId="2C5CA51D" wp14:editId="79370ED7">
            <wp:simplePos x="0" y="0"/>
            <wp:positionH relativeFrom="margin">
              <wp:posOffset>257810</wp:posOffset>
            </wp:positionH>
            <wp:positionV relativeFrom="paragraph">
              <wp:posOffset>0</wp:posOffset>
            </wp:positionV>
            <wp:extent cx="5497830" cy="3574415"/>
            <wp:effectExtent l="0" t="0" r="7620" b="6985"/>
            <wp:wrapSquare wrapText="bothSides"/>
            <wp:docPr id="6"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4" cstate="print">
                      <a:extLst>
                        <a:ext uri="{28A0092B-C50C-407E-A947-70E740481C1C}">
                          <a14:useLocalDpi xmlns:a14="http://schemas.microsoft.com/office/drawing/2010/main" val="0"/>
                        </a:ext>
                      </a:extLst>
                    </a:blip>
                    <a:srcRect l="21040" t="14607" r="20821" b="19661"/>
                    <a:stretch/>
                  </pic:blipFill>
                  <pic:spPr bwMode="auto">
                    <a:xfrm>
                      <a:off x="0" y="0"/>
                      <a:ext cx="5497830" cy="35744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32E8" w:rsidRDefault="007732E8" w:rsidP="007732E8">
      <w:pPr>
        <w:spacing w:after="0" w:line="360" w:lineRule="auto"/>
        <w:jc w:val="both"/>
        <w:rPr>
          <w:rFonts w:ascii="Times New Roman" w:eastAsia="Calibri" w:hAnsi="Times New Roman" w:cs="Times New Roman"/>
          <w:sz w:val="28"/>
          <w:szCs w:val="28"/>
        </w:rPr>
      </w:pPr>
    </w:p>
    <w:p w:rsidR="00BA5CCC" w:rsidRDefault="00BA5CCC" w:rsidP="007732E8">
      <w:pPr>
        <w:spacing w:after="0" w:line="360" w:lineRule="auto"/>
        <w:jc w:val="both"/>
        <w:rPr>
          <w:rFonts w:ascii="Times New Roman" w:eastAsia="Calibri" w:hAnsi="Times New Roman" w:cs="Times New Roman"/>
          <w:sz w:val="28"/>
          <w:szCs w:val="28"/>
        </w:rPr>
      </w:pPr>
    </w:p>
    <w:p w:rsidR="00BA5CCC" w:rsidRDefault="00BA5CCC" w:rsidP="007732E8">
      <w:pPr>
        <w:spacing w:after="0" w:line="360" w:lineRule="auto"/>
        <w:jc w:val="both"/>
        <w:rPr>
          <w:rFonts w:ascii="Times New Roman" w:eastAsia="Calibri" w:hAnsi="Times New Roman" w:cs="Times New Roman"/>
          <w:sz w:val="28"/>
          <w:szCs w:val="28"/>
        </w:rPr>
      </w:pPr>
    </w:p>
    <w:p w:rsidR="00BA5CCC" w:rsidRDefault="00BA5CCC" w:rsidP="007732E8">
      <w:pPr>
        <w:spacing w:after="0" w:line="360" w:lineRule="auto"/>
        <w:jc w:val="both"/>
        <w:rPr>
          <w:rFonts w:ascii="Times New Roman" w:eastAsia="Calibri" w:hAnsi="Times New Roman" w:cs="Times New Roman"/>
          <w:sz w:val="28"/>
          <w:szCs w:val="28"/>
        </w:rPr>
      </w:pPr>
    </w:p>
    <w:p w:rsidR="00BA5CCC" w:rsidRDefault="00BA5CCC" w:rsidP="007732E8">
      <w:pPr>
        <w:spacing w:after="0" w:line="360" w:lineRule="auto"/>
        <w:jc w:val="both"/>
        <w:rPr>
          <w:rFonts w:ascii="Times New Roman" w:eastAsia="Calibri" w:hAnsi="Times New Roman" w:cs="Times New Roman"/>
          <w:sz w:val="28"/>
          <w:szCs w:val="28"/>
        </w:rPr>
      </w:pPr>
    </w:p>
    <w:p w:rsidR="00BA5CCC" w:rsidRDefault="00BA5CCC" w:rsidP="007732E8">
      <w:pPr>
        <w:spacing w:after="0" w:line="360" w:lineRule="auto"/>
        <w:jc w:val="both"/>
        <w:rPr>
          <w:rFonts w:ascii="Times New Roman" w:eastAsia="Calibri" w:hAnsi="Times New Roman" w:cs="Times New Roman"/>
          <w:sz w:val="28"/>
          <w:szCs w:val="28"/>
        </w:rPr>
      </w:pPr>
    </w:p>
    <w:p w:rsidR="00BA5CCC" w:rsidRDefault="00BA5CCC" w:rsidP="007732E8">
      <w:pPr>
        <w:spacing w:after="0" w:line="360" w:lineRule="auto"/>
        <w:jc w:val="both"/>
        <w:rPr>
          <w:rFonts w:ascii="Times New Roman" w:eastAsia="Calibri" w:hAnsi="Times New Roman" w:cs="Times New Roman"/>
          <w:sz w:val="28"/>
          <w:szCs w:val="28"/>
        </w:rPr>
      </w:pPr>
    </w:p>
    <w:p w:rsidR="00BA5CCC" w:rsidRDefault="00BA5CCC" w:rsidP="007732E8">
      <w:pPr>
        <w:spacing w:after="0" w:line="360" w:lineRule="auto"/>
        <w:jc w:val="both"/>
        <w:rPr>
          <w:rFonts w:ascii="Times New Roman" w:eastAsia="Calibri" w:hAnsi="Times New Roman" w:cs="Times New Roman"/>
          <w:sz w:val="28"/>
          <w:szCs w:val="28"/>
        </w:rPr>
      </w:pPr>
    </w:p>
    <w:p w:rsidR="00BA5CCC" w:rsidRDefault="00BA5CCC" w:rsidP="007732E8">
      <w:pPr>
        <w:spacing w:after="0" w:line="360" w:lineRule="auto"/>
        <w:jc w:val="both"/>
        <w:rPr>
          <w:rFonts w:ascii="Times New Roman" w:eastAsia="Calibri" w:hAnsi="Times New Roman" w:cs="Times New Roman"/>
          <w:sz w:val="28"/>
          <w:szCs w:val="28"/>
        </w:rPr>
      </w:pPr>
    </w:p>
    <w:p w:rsidR="00BA5CCC" w:rsidRDefault="00BA5CCC" w:rsidP="007732E8">
      <w:pPr>
        <w:spacing w:after="0" w:line="360" w:lineRule="auto"/>
        <w:jc w:val="both"/>
        <w:rPr>
          <w:rFonts w:ascii="Times New Roman" w:eastAsia="Calibri" w:hAnsi="Times New Roman" w:cs="Times New Roman"/>
          <w:sz w:val="28"/>
          <w:szCs w:val="28"/>
        </w:rPr>
      </w:pPr>
    </w:p>
    <w:p w:rsidR="00BA5CCC" w:rsidRDefault="00BA5CCC" w:rsidP="007732E8">
      <w:pPr>
        <w:spacing w:after="0" w:line="360" w:lineRule="auto"/>
        <w:jc w:val="both"/>
        <w:rPr>
          <w:rFonts w:ascii="Times New Roman" w:eastAsia="Calibri" w:hAnsi="Times New Roman" w:cs="Times New Roman"/>
          <w:sz w:val="28"/>
          <w:szCs w:val="28"/>
        </w:rPr>
      </w:pPr>
    </w:p>
    <w:p w:rsidR="007732E8" w:rsidRDefault="007732E8" w:rsidP="007732E8">
      <w:pPr>
        <w:spacing w:after="0" w:line="360" w:lineRule="auto"/>
        <w:jc w:val="center"/>
        <w:rPr>
          <w:rFonts w:ascii="Times New Roman" w:eastAsia="Calibri" w:hAnsi="Times New Roman" w:cs="Times New Roman"/>
          <w:sz w:val="28"/>
          <w:szCs w:val="28"/>
        </w:rPr>
      </w:pPr>
      <w:r w:rsidRPr="007732E8">
        <w:rPr>
          <w:rFonts w:ascii="Times New Roman" w:eastAsia="Calibri" w:hAnsi="Times New Roman" w:cs="Times New Roman"/>
          <w:sz w:val="28"/>
          <w:szCs w:val="28"/>
        </w:rPr>
        <w:t>Рисунок 3.2.2.1</w:t>
      </w:r>
      <w:r w:rsidR="00BA5CCC">
        <w:rPr>
          <w:rFonts w:ascii="Times New Roman" w:eastAsia="Calibri" w:hAnsi="Times New Roman" w:cs="Times New Roman"/>
          <w:sz w:val="28"/>
          <w:szCs w:val="28"/>
        </w:rPr>
        <w:t>‒</w:t>
      </w:r>
      <w:r w:rsidRPr="007732E8">
        <w:rPr>
          <w:rFonts w:ascii="Times New Roman" w:eastAsia="Calibri" w:hAnsi="Times New Roman" w:cs="Times New Roman"/>
          <w:sz w:val="28"/>
          <w:szCs w:val="28"/>
        </w:rPr>
        <w:t xml:space="preserve"> Показатели сатурации крови и ЧДД в период продрома и разгара у исследуемых групп.</w:t>
      </w:r>
    </w:p>
    <w:p w:rsidR="003D4E8F" w:rsidRPr="007732E8" w:rsidRDefault="003D4E8F" w:rsidP="007732E8">
      <w:pPr>
        <w:spacing w:after="0" w:line="360" w:lineRule="auto"/>
        <w:jc w:val="center"/>
        <w:rPr>
          <w:rFonts w:ascii="Times New Roman" w:eastAsia="Calibri" w:hAnsi="Times New Roman" w:cs="Times New Roman"/>
          <w:sz w:val="28"/>
          <w:szCs w:val="28"/>
        </w:rPr>
      </w:pPr>
    </w:p>
    <w:p w:rsidR="007732E8" w:rsidRPr="007732E8" w:rsidRDefault="007732E8" w:rsidP="003D4E8F">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Сатурация и ЧДД, как показатели непосредственной насыщенности кислородом крови и механизма обеспечения кислородом организма, у исследуемого групп, отражают динамику прогрессии/регрессии гипоксического состояния в сторону постепенное стабилизации с компенсаторными проявлениями в период заболевания. Так, в момент обращения, сатурация была у нижней границы нормы у жителей низкогорья, тогда как, в среднегорье средний показатель был ниже на 2 процентных пункта, а в высокогорье на 3-4 процентных пункта. На третий сутки наблюдения, общая динамика сатурации спала на полтора процента во всех исследуемых группах, с относительно благоприятными показателями у исследуемых из среднегорного региона. Феномен сопоставляется с моментом включения компенсаторных механизмов в гемоглобиновых и эритроцитарных графиках. Данная тенденция, сохраняется до выздоровления пациента во всех исследуемых группах. Регрессивный тренд сатурации, отмечался на пятые сутки заболевания с последующим повышением до референтых значений. ЧДД имела обратную динамику, так во всех трёх </w:t>
      </w:r>
      <w:r w:rsidRPr="007732E8">
        <w:rPr>
          <w:rFonts w:ascii="Times New Roman" w:eastAsia="Calibri" w:hAnsi="Times New Roman" w:cs="Times New Roman"/>
          <w:sz w:val="28"/>
          <w:szCs w:val="28"/>
        </w:rPr>
        <w:lastRenderedPageBreak/>
        <w:t>группах, ЧДД повышает свои значения до пятых суток, достигнув пика, показатель имел тренд к стандартным значениям и к 10-м суткам наблюдения остается стабилен.</w:t>
      </w:r>
    </w:p>
    <w:p w:rsidR="007732E8" w:rsidRDefault="007732E8" w:rsidP="007732E8">
      <w:pPr>
        <w:spacing w:after="0" w:line="360" w:lineRule="auto"/>
        <w:jc w:val="center"/>
        <w:rPr>
          <w:rFonts w:ascii="Times New Roman" w:eastAsia="Calibri" w:hAnsi="Times New Roman" w:cs="Times New Roman"/>
          <w:sz w:val="28"/>
          <w:szCs w:val="28"/>
        </w:rPr>
      </w:pPr>
      <w:r w:rsidRPr="007732E8">
        <w:rPr>
          <w:rFonts w:ascii="Calibri" w:eastAsia="Calibri" w:hAnsi="Calibri" w:cs="Times New Roman"/>
          <w:noProof/>
          <w:lang w:eastAsia="ru-RU"/>
        </w:rPr>
        <w:drawing>
          <wp:inline distT="0" distB="0" distL="0" distR="0" wp14:anchorId="29521408" wp14:editId="4CD73219">
            <wp:extent cx="5379720" cy="370332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l="21164" t="9959" r="21071" b="19218"/>
                    <a:stretch>
                      <a:fillRect/>
                    </a:stretch>
                  </pic:blipFill>
                  <pic:spPr bwMode="auto">
                    <a:xfrm>
                      <a:off x="0" y="0"/>
                      <a:ext cx="5379720" cy="3703320"/>
                    </a:xfrm>
                    <a:prstGeom prst="rect">
                      <a:avLst/>
                    </a:prstGeom>
                    <a:noFill/>
                    <a:ln>
                      <a:noFill/>
                    </a:ln>
                  </pic:spPr>
                </pic:pic>
              </a:graphicData>
            </a:graphic>
          </wp:inline>
        </w:drawing>
      </w:r>
      <w:r w:rsidRPr="007732E8">
        <w:rPr>
          <w:rFonts w:ascii="Times New Roman" w:eastAsia="Calibri" w:hAnsi="Times New Roman" w:cs="Times New Roman"/>
          <w:sz w:val="28"/>
          <w:szCs w:val="28"/>
        </w:rPr>
        <w:br w:type="textWrapping" w:clear="all"/>
        <w:t>Рисунок 3.2.2.2</w:t>
      </w:r>
      <w:r w:rsidR="00BA5CCC">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Динамика измерения АД у исследуемых пациентов в трех климатических регионах.</w:t>
      </w:r>
    </w:p>
    <w:p w:rsidR="003D4E8F" w:rsidRPr="007732E8" w:rsidRDefault="003D4E8F" w:rsidP="007732E8">
      <w:pPr>
        <w:spacing w:after="0" w:line="360" w:lineRule="auto"/>
        <w:jc w:val="center"/>
        <w:rPr>
          <w:rFonts w:ascii="Times New Roman" w:eastAsia="Calibri" w:hAnsi="Times New Roman" w:cs="Times New Roman"/>
          <w:sz w:val="28"/>
          <w:szCs w:val="28"/>
        </w:rPr>
      </w:pPr>
    </w:p>
    <w:p w:rsidR="007732E8" w:rsidRPr="007732E8" w:rsidRDefault="007732E8" w:rsidP="003D4E8F">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Оценивая проспективное изменения показателей артериального давления, мы выявили, что общая тенденция к изменению показателей было незначительной, что говорит о стабильности указанного параметра в период заболевания COVID-19. Распределение давления и её компонентов в исследуемых группах выявила закономерность, в виде повышения ПАД до пятых суток наблюдения у пациентов из высокогорного региона, относительно других когорт. С пятых суток происходит стабилизация ПАД у исследуемых из высокогорья на уровне средне-и низкогорья. Данное явление, говорит о включении в механизм регуляция артериального давления, дополнительных факторов влияния в период заболевания COVID-19 у пациентов из </w:t>
      </w:r>
      <w:r w:rsidRPr="007732E8">
        <w:rPr>
          <w:rFonts w:ascii="Times New Roman" w:eastAsia="Calibri" w:hAnsi="Times New Roman" w:cs="Times New Roman"/>
          <w:sz w:val="28"/>
          <w:szCs w:val="28"/>
        </w:rPr>
        <w:lastRenderedPageBreak/>
        <w:t>высокогорного региона, а последующая стабилизация как процесс компенсации всех изменений за период 5-6 суток от момента обращения</w:t>
      </w:r>
    </w:p>
    <w:p w:rsidR="007732E8" w:rsidRPr="007732E8" w:rsidRDefault="007732E8" w:rsidP="003D4E8F">
      <w:pPr>
        <w:spacing w:after="0" w:line="360" w:lineRule="auto"/>
        <w:ind w:firstLine="709"/>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3.2.3. Изменения показателей крови у пациентов с </w:t>
      </w:r>
      <w:r w:rsidRPr="007732E8">
        <w:rPr>
          <w:rFonts w:ascii="Times New Roman" w:eastAsia="Calibri" w:hAnsi="Times New Roman" w:cs="Times New Roman"/>
          <w:b/>
          <w:sz w:val="28"/>
          <w:szCs w:val="28"/>
          <w:lang w:val="en-US"/>
        </w:rPr>
        <w:t>COVID</w:t>
      </w:r>
      <w:r w:rsidRPr="007732E8">
        <w:rPr>
          <w:rFonts w:ascii="Times New Roman" w:eastAsia="Calibri" w:hAnsi="Times New Roman" w:cs="Times New Roman"/>
          <w:b/>
          <w:sz w:val="28"/>
          <w:szCs w:val="28"/>
        </w:rPr>
        <w:t>-19 в исследуемых регионах и динамика в период заболевания.</w:t>
      </w:r>
    </w:p>
    <w:p w:rsidR="007732E8" w:rsidRPr="007732E8" w:rsidRDefault="007732E8" w:rsidP="003D4E8F">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Лабораторная оценка состояния исследуемых, проводилась согласно клиническому протоколу. Так показатель общего анализа крови, корригировать данными с М. М. Миррахимова с достоверной разницей в уровнях гемоглобина и эритроцитов, в сторону превалирования данных показателей у жителей высокогорья относительно других когорт. </w:t>
      </w:r>
    </w:p>
    <w:p w:rsidR="007732E8" w:rsidRDefault="007732E8" w:rsidP="003D4E8F">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Лейкоцитарные показатели в исследуемых группах имеют следующее распределение: статистически значимое повышение лейкоцитов у исследуемых из среднегорного региона в сравнении с низко – и высокогорьем, что говорит о более активном течении процесса в указанном регионе, тогда как высокогорный регион отмечает относительно низкий клиренс первичный реактивности стартового звена иммунной системы. Распределение на популяции лейкоцитов, мы выявили, что палочкоядерные и сегментоядерные нейтрофилы также превалируют в рамках исследования в группе из среднегорного региона, что свидетельствует о качественном вовлечении клеточного иммунитета среднегорном регионе. Оценивая реактивную способность иммунитета на базовых анализах, нами выявлен парадокс повышение значения базофилов, эозинофилов и моноцитов крови исследуемых из низкорного региона, что косвенно свидетельствует о реактивной готовности иммунитета в регионе с экологическими проблемами, тогда как средне- и высокогорном регионах значение оставались на низком уровне. </w:t>
      </w:r>
    </w:p>
    <w:p w:rsidR="00BA5CCC" w:rsidRDefault="00BA5CCC" w:rsidP="003D4E8F">
      <w:pPr>
        <w:spacing w:after="0" w:line="360" w:lineRule="auto"/>
        <w:ind w:firstLine="709"/>
        <w:jc w:val="both"/>
        <w:rPr>
          <w:rFonts w:ascii="Times New Roman" w:eastAsia="Calibri" w:hAnsi="Times New Roman" w:cs="Times New Roman"/>
          <w:sz w:val="28"/>
          <w:szCs w:val="28"/>
        </w:rPr>
      </w:pPr>
    </w:p>
    <w:p w:rsidR="00BA5CCC" w:rsidRDefault="00BA5CCC" w:rsidP="003D4E8F">
      <w:pPr>
        <w:spacing w:after="0" w:line="360" w:lineRule="auto"/>
        <w:ind w:firstLine="709"/>
        <w:jc w:val="both"/>
        <w:rPr>
          <w:rFonts w:ascii="Times New Roman" w:eastAsia="Calibri" w:hAnsi="Times New Roman" w:cs="Times New Roman"/>
          <w:sz w:val="28"/>
          <w:szCs w:val="28"/>
        </w:rPr>
      </w:pPr>
    </w:p>
    <w:p w:rsidR="00BA5CCC" w:rsidRPr="007732E8" w:rsidRDefault="00BA5CCC" w:rsidP="003D4E8F">
      <w:pPr>
        <w:spacing w:after="0" w:line="360" w:lineRule="auto"/>
        <w:ind w:firstLine="709"/>
        <w:jc w:val="both"/>
        <w:rPr>
          <w:rFonts w:ascii="Times New Roman" w:eastAsia="Calibri" w:hAnsi="Times New Roman" w:cs="Times New Roman"/>
          <w:sz w:val="28"/>
          <w:szCs w:val="28"/>
        </w:rPr>
      </w:pPr>
    </w:p>
    <w:p w:rsidR="00BA5CCC" w:rsidRDefault="00BA5CCC" w:rsidP="00BA5CCC">
      <w:pPr>
        <w:spacing w:after="0" w:line="360" w:lineRule="auto"/>
        <w:jc w:val="both"/>
        <w:rPr>
          <w:rFonts w:ascii="Times New Roman" w:eastAsia="Calibri" w:hAnsi="Times New Roman" w:cs="Times New Roman"/>
          <w:sz w:val="28"/>
          <w:szCs w:val="28"/>
        </w:rPr>
      </w:pPr>
    </w:p>
    <w:p w:rsidR="007732E8" w:rsidRPr="007732E8" w:rsidRDefault="007732E8" w:rsidP="00BA5CCC">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Таблица 3.2.3.1</w:t>
      </w:r>
      <w:r w:rsidR="00BA5CCC">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Сравнительная характеристика показателей общего анализа крови  у пациентов с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 в условиях низко-, средне- и высокогорья</w:t>
      </w:r>
    </w:p>
    <w:tbl>
      <w:tblPr>
        <w:tblStyle w:val="a3"/>
        <w:tblW w:w="0" w:type="auto"/>
        <w:tblLayout w:type="fixed"/>
        <w:tblLook w:val="04A0" w:firstRow="1" w:lastRow="0" w:firstColumn="1" w:lastColumn="0" w:noHBand="0" w:noVBand="1"/>
      </w:tblPr>
      <w:tblGrid>
        <w:gridCol w:w="758"/>
        <w:gridCol w:w="2044"/>
        <w:gridCol w:w="1637"/>
        <w:gridCol w:w="1731"/>
        <w:gridCol w:w="1779"/>
        <w:gridCol w:w="1798"/>
      </w:tblGrid>
      <w:tr w:rsidR="00BA5CCC" w:rsidTr="00EB2490">
        <w:tc>
          <w:tcPr>
            <w:tcW w:w="758"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lastRenderedPageBreak/>
              <w:t>№</w:t>
            </w:r>
          </w:p>
        </w:tc>
        <w:tc>
          <w:tcPr>
            <w:tcW w:w="2044"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Показатель</w:t>
            </w:r>
          </w:p>
        </w:tc>
        <w:tc>
          <w:tcPr>
            <w:tcW w:w="1637"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Низкогорье</w:t>
            </w:r>
          </w:p>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lang w:val="en-US"/>
              </w:rPr>
              <w:t>(n</w:t>
            </w:r>
            <w:r w:rsidRPr="007732E8">
              <w:rPr>
                <w:rFonts w:ascii="Times New Roman" w:hAnsi="Times New Roman"/>
                <w:sz w:val="28"/>
                <w:szCs w:val="28"/>
              </w:rPr>
              <w:t>=</w:t>
            </w:r>
            <w:r w:rsidRPr="007732E8">
              <w:rPr>
                <w:rFonts w:ascii="Times New Roman" w:hAnsi="Times New Roman"/>
                <w:sz w:val="28"/>
                <w:szCs w:val="28"/>
                <w:lang w:val="en-US"/>
              </w:rPr>
              <w:t>2</w:t>
            </w:r>
            <w:r w:rsidRPr="007732E8">
              <w:rPr>
                <w:rFonts w:ascii="Times New Roman" w:hAnsi="Times New Roman"/>
                <w:sz w:val="28"/>
                <w:szCs w:val="28"/>
              </w:rPr>
              <w:t>00</w:t>
            </w:r>
            <w:r w:rsidRPr="007732E8">
              <w:rPr>
                <w:rFonts w:ascii="Times New Roman" w:hAnsi="Times New Roman"/>
                <w:sz w:val="28"/>
                <w:szCs w:val="28"/>
                <w:lang w:val="en-US"/>
              </w:rPr>
              <w:t>) a</w:t>
            </w:r>
          </w:p>
        </w:tc>
        <w:tc>
          <w:tcPr>
            <w:tcW w:w="1731"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Среднегорье</w:t>
            </w:r>
          </w:p>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lang w:val="en-US"/>
              </w:rPr>
              <w:t>(n</w:t>
            </w:r>
            <w:r w:rsidRPr="007732E8">
              <w:rPr>
                <w:rFonts w:ascii="Times New Roman" w:hAnsi="Times New Roman"/>
                <w:sz w:val="28"/>
                <w:szCs w:val="28"/>
              </w:rPr>
              <w:t>=</w:t>
            </w:r>
            <w:r w:rsidRPr="007732E8">
              <w:rPr>
                <w:rFonts w:ascii="Times New Roman" w:hAnsi="Times New Roman"/>
                <w:sz w:val="28"/>
                <w:szCs w:val="28"/>
                <w:lang w:val="en-US"/>
              </w:rPr>
              <w:t>2</w:t>
            </w:r>
            <w:r w:rsidRPr="007732E8">
              <w:rPr>
                <w:rFonts w:ascii="Times New Roman" w:hAnsi="Times New Roman"/>
                <w:sz w:val="28"/>
                <w:szCs w:val="28"/>
              </w:rPr>
              <w:t>00</w:t>
            </w:r>
            <w:r w:rsidRPr="007732E8">
              <w:rPr>
                <w:rFonts w:ascii="Times New Roman" w:hAnsi="Times New Roman"/>
                <w:sz w:val="28"/>
                <w:szCs w:val="28"/>
                <w:lang w:val="en-US"/>
              </w:rPr>
              <w:t>) b</w:t>
            </w:r>
          </w:p>
        </w:tc>
        <w:tc>
          <w:tcPr>
            <w:tcW w:w="1779"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Высокогорье</w:t>
            </w:r>
          </w:p>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lang w:val="en-US"/>
              </w:rPr>
              <w:t>(n</w:t>
            </w:r>
            <w:r w:rsidRPr="007732E8">
              <w:rPr>
                <w:rFonts w:ascii="Times New Roman" w:hAnsi="Times New Roman"/>
                <w:sz w:val="28"/>
                <w:szCs w:val="28"/>
              </w:rPr>
              <w:t>=</w:t>
            </w:r>
            <w:r w:rsidRPr="007732E8">
              <w:rPr>
                <w:rFonts w:ascii="Times New Roman" w:hAnsi="Times New Roman"/>
                <w:sz w:val="28"/>
                <w:szCs w:val="28"/>
                <w:lang w:val="en-US"/>
              </w:rPr>
              <w:t>2</w:t>
            </w:r>
            <w:r w:rsidRPr="007732E8">
              <w:rPr>
                <w:rFonts w:ascii="Times New Roman" w:hAnsi="Times New Roman"/>
                <w:sz w:val="28"/>
                <w:szCs w:val="28"/>
              </w:rPr>
              <w:t>00</w:t>
            </w:r>
            <w:r w:rsidRPr="007732E8">
              <w:rPr>
                <w:rFonts w:ascii="Times New Roman" w:hAnsi="Times New Roman"/>
                <w:sz w:val="28"/>
                <w:szCs w:val="28"/>
                <w:lang w:val="en-US"/>
              </w:rPr>
              <w:t>) c</w:t>
            </w:r>
          </w:p>
        </w:tc>
        <w:tc>
          <w:tcPr>
            <w:tcW w:w="1798"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lang w:val="en-US"/>
              </w:rPr>
              <w:t>p</w:t>
            </w:r>
          </w:p>
        </w:tc>
      </w:tr>
      <w:tr w:rsidR="00BA5CCC" w:rsidRPr="000D1F9B" w:rsidTr="00EB2490">
        <w:tc>
          <w:tcPr>
            <w:tcW w:w="75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1</w:t>
            </w:r>
          </w:p>
        </w:tc>
        <w:tc>
          <w:tcPr>
            <w:tcW w:w="2044"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Гемоглобин (г/л)</w:t>
            </w:r>
          </w:p>
        </w:tc>
        <w:tc>
          <w:tcPr>
            <w:tcW w:w="1637"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lang w:val="en-US"/>
              </w:rPr>
              <w:t>104</w:t>
            </w:r>
            <w:r w:rsidRPr="007732E8">
              <w:rPr>
                <w:rFonts w:ascii="Times New Roman" w:hAnsi="Times New Roman"/>
                <w:sz w:val="28"/>
                <w:szCs w:val="28"/>
              </w:rPr>
              <w:t>.7±0.413</w:t>
            </w:r>
          </w:p>
        </w:tc>
        <w:tc>
          <w:tcPr>
            <w:tcW w:w="1731"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98.2±0.347</w:t>
            </w:r>
          </w:p>
        </w:tc>
        <w:tc>
          <w:tcPr>
            <w:tcW w:w="1779"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121.4±0.417</w:t>
            </w:r>
          </w:p>
        </w:tc>
        <w:tc>
          <w:tcPr>
            <w:tcW w:w="179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BA5CCC" w:rsidRPr="000D1F9B" w:rsidTr="00EB2490">
        <w:tc>
          <w:tcPr>
            <w:tcW w:w="75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2</w:t>
            </w:r>
          </w:p>
        </w:tc>
        <w:tc>
          <w:tcPr>
            <w:tcW w:w="2044"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Эритроциты (10^12/л)</w:t>
            </w:r>
          </w:p>
        </w:tc>
        <w:tc>
          <w:tcPr>
            <w:tcW w:w="1637"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3.71±0.0141</w:t>
            </w:r>
          </w:p>
        </w:tc>
        <w:tc>
          <w:tcPr>
            <w:tcW w:w="1731"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3.57±0.0209</w:t>
            </w:r>
          </w:p>
        </w:tc>
        <w:tc>
          <w:tcPr>
            <w:tcW w:w="1779"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4.32±0.0194</w:t>
            </w:r>
          </w:p>
        </w:tc>
        <w:tc>
          <w:tcPr>
            <w:tcW w:w="179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BA5CCC" w:rsidRPr="000D1F9B" w:rsidTr="00EB2490">
        <w:tc>
          <w:tcPr>
            <w:tcW w:w="75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3</w:t>
            </w:r>
          </w:p>
        </w:tc>
        <w:tc>
          <w:tcPr>
            <w:tcW w:w="2044"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Лейкоциты (10^9/л)</w:t>
            </w:r>
          </w:p>
        </w:tc>
        <w:tc>
          <w:tcPr>
            <w:tcW w:w="1637"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7.18±0.1207</w:t>
            </w:r>
          </w:p>
        </w:tc>
        <w:tc>
          <w:tcPr>
            <w:tcW w:w="1731"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8.31±0.1199</w:t>
            </w:r>
          </w:p>
        </w:tc>
        <w:tc>
          <w:tcPr>
            <w:tcW w:w="1779"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7.52±0.1177</w:t>
            </w:r>
          </w:p>
        </w:tc>
        <w:tc>
          <w:tcPr>
            <w:tcW w:w="179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BA5CCC" w:rsidRPr="000D1F9B" w:rsidTr="00EB2490">
        <w:tc>
          <w:tcPr>
            <w:tcW w:w="75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4</w:t>
            </w:r>
          </w:p>
        </w:tc>
        <w:tc>
          <w:tcPr>
            <w:tcW w:w="2044"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Палочкоядерные (%)</w:t>
            </w:r>
          </w:p>
        </w:tc>
        <w:tc>
          <w:tcPr>
            <w:tcW w:w="1637"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5.74±0.1173</w:t>
            </w:r>
          </w:p>
        </w:tc>
        <w:tc>
          <w:tcPr>
            <w:tcW w:w="1731"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6.57±0.1227</w:t>
            </w:r>
          </w:p>
        </w:tc>
        <w:tc>
          <w:tcPr>
            <w:tcW w:w="1779"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6.04±0.1193</w:t>
            </w:r>
          </w:p>
        </w:tc>
        <w:tc>
          <w:tcPr>
            <w:tcW w:w="179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p(a\c)-0.07</w:t>
            </w:r>
          </w:p>
        </w:tc>
      </w:tr>
      <w:tr w:rsidR="00BA5CCC" w:rsidRPr="000D1F9B" w:rsidTr="00EB2490">
        <w:tc>
          <w:tcPr>
            <w:tcW w:w="75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5</w:t>
            </w:r>
          </w:p>
        </w:tc>
        <w:tc>
          <w:tcPr>
            <w:tcW w:w="2044"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Сегментоядерные (%)</w:t>
            </w:r>
          </w:p>
        </w:tc>
        <w:tc>
          <w:tcPr>
            <w:tcW w:w="1637"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72.2±1.117</w:t>
            </w:r>
          </w:p>
        </w:tc>
        <w:tc>
          <w:tcPr>
            <w:tcW w:w="1731"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80.2±1.208</w:t>
            </w:r>
          </w:p>
        </w:tc>
        <w:tc>
          <w:tcPr>
            <w:tcW w:w="1779"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78.4±1.175</w:t>
            </w:r>
          </w:p>
        </w:tc>
        <w:tc>
          <w:tcPr>
            <w:tcW w:w="179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p(b\c)-0.26</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BA5CCC" w:rsidRPr="000D1F9B" w:rsidTr="00EB2490">
        <w:tc>
          <w:tcPr>
            <w:tcW w:w="75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6</w:t>
            </w:r>
          </w:p>
        </w:tc>
        <w:tc>
          <w:tcPr>
            <w:tcW w:w="2044"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Базофилы (%)</w:t>
            </w:r>
          </w:p>
        </w:tc>
        <w:tc>
          <w:tcPr>
            <w:tcW w:w="1637"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0.86±0.0291</w:t>
            </w:r>
          </w:p>
        </w:tc>
        <w:tc>
          <w:tcPr>
            <w:tcW w:w="1731"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0.51±0.0301</w:t>
            </w:r>
          </w:p>
        </w:tc>
        <w:tc>
          <w:tcPr>
            <w:tcW w:w="1779"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0.43±0.0316</w:t>
            </w:r>
          </w:p>
        </w:tc>
        <w:tc>
          <w:tcPr>
            <w:tcW w:w="179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p(a\b)-0.067</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BA5CCC" w:rsidRPr="000D1F9B" w:rsidTr="00EB2490">
        <w:tc>
          <w:tcPr>
            <w:tcW w:w="75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7</w:t>
            </w:r>
          </w:p>
        </w:tc>
        <w:tc>
          <w:tcPr>
            <w:tcW w:w="2044"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Эозинофилы (%)</w:t>
            </w:r>
          </w:p>
        </w:tc>
        <w:tc>
          <w:tcPr>
            <w:tcW w:w="1637"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3.13±0.0417</w:t>
            </w:r>
          </w:p>
        </w:tc>
        <w:tc>
          <w:tcPr>
            <w:tcW w:w="1731"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2.77±0.0379</w:t>
            </w:r>
          </w:p>
        </w:tc>
        <w:tc>
          <w:tcPr>
            <w:tcW w:w="1779" w:type="dxa"/>
            <w:vAlign w:val="center"/>
          </w:tcPr>
          <w:p w:rsidR="00BA5CCC" w:rsidRPr="007732E8" w:rsidRDefault="00BA5CCC" w:rsidP="00BA5CCC">
            <w:pPr>
              <w:spacing w:line="276" w:lineRule="auto"/>
              <w:jc w:val="center"/>
              <w:rPr>
                <w:rFonts w:ascii="Times New Roman" w:hAnsi="Times New Roman"/>
                <w:b/>
                <w:bCs/>
                <w:sz w:val="28"/>
                <w:szCs w:val="28"/>
              </w:rPr>
            </w:pPr>
            <w:r w:rsidRPr="007732E8">
              <w:rPr>
                <w:rFonts w:ascii="Times New Roman" w:hAnsi="Times New Roman"/>
                <w:sz w:val="28"/>
                <w:szCs w:val="28"/>
              </w:rPr>
              <w:t>3.08±0.0419</w:t>
            </w:r>
          </w:p>
        </w:tc>
        <w:tc>
          <w:tcPr>
            <w:tcW w:w="179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p(a\c)-0.4</w:t>
            </w:r>
          </w:p>
        </w:tc>
      </w:tr>
      <w:tr w:rsidR="00BA5CCC" w:rsidRPr="000D1F9B" w:rsidTr="00EB2490">
        <w:tc>
          <w:tcPr>
            <w:tcW w:w="75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8</w:t>
            </w:r>
          </w:p>
        </w:tc>
        <w:tc>
          <w:tcPr>
            <w:tcW w:w="2044"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Моноциты (%)</w:t>
            </w:r>
          </w:p>
        </w:tc>
        <w:tc>
          <w:tcPr>
            <w:tcW w:w="1637"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7.78±0.0093</w:t>
            </w:r>
          </w:p>
        </w:tc>
        <w:tc>
          <w:tcPr>
            <w:tcW w:w="1731"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6.93±0.0107</w:t>
            </w:r>
          </w:p>
        </w:tc>
        <w:tc>
          <w:tcPr>
            <w:tcW w:w="1779"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7.14±0.00174</w:t>
            </w:r>
          </w:p>
        </w:tc>
        <w:tc>
          <w:tcPr>
            <w:tcW w:w="179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BA5CCC" w:rsidRPr="000D1F9B" w:rsidTr="00EB2490">
        <w:tc>
          <w:tcPr>
            <w:tcW w:w="75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9</w:t>
            </w:r>
          </w:p>
        </w:tc>
        <w:tc>
          <w:tcPr>
            <w:tcW w:w="2044"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Лимфоциты (%)</w:t>
            </w:r>
          </w:p>
        </w:tc>
        <w:tc>
          <w:tcPr>
            <w:tcW w:w="1637"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24.7±0.071</w:t>
            </w:r>
          </w:p>
        </w:tc>
        <w:tc>
          <w:tcPr>
            <w:tcW w:w="1731"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22.9±0.0542</w:t>
            </w:r>
          </w:p>
        </w:tc>
        <w:tc>
          <w:tcPr>
            <w:tcW w:w="1779"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29.4±0.0801</w:t>
            </w:r>
          </w:p>
        </w:tc>
        <w:tc>
          <w:tcPr>
            <w:tcW w:w="179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BA5CCC" w:rsidRPr="000D1F9B" w:rsidTr="00EB2490">
        <w:tc>
          <w:tcPr>
            <w:tcW w:w="75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10</w:t>
            </w:r>
          </w:p>
        </w:tc>
        <w:tc>
          <w:tcPr>
            <w:tcW w:w="2044"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Тромбоциты (10^9/л)</w:t>
            </w:r>
          </w:p>
        </w:tc>
        <w:tc>
          <w:tcPr>
            <w:tcW w:w="1637"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259.7±1.819</w:t>
            </w:r>
          </w:p>
        </w:tc>
        <w:tc>
          <w:tcPr>
            <w:tcW w:w="1731"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261.2±1.799</w:t>
            </w:r>
          </w:p>
        </w:tc>
        <w:tc>
          <w:tcPr>
            <w:tcW w:w="1779"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275.9±0.926</w:t>
            </w:r>
          </w:p>
        </w:tc>
        <w:tc>
          <w:tcPr>
            <w:tcW w:w="179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p(a\b)-0.02</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BA5CCC" w:rsidRPr="000D1F9B" w:rsidTr="00EB2490">
        <w:tc>
          <w:tcPr>
            <w:tcW w:w="75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11</w:t>
            </w:r>
          </w:p>
        </w:tc>
        <w:tc>
          <w:tcPr>
            <w:tcW w:w="2044"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СОЭ (мм/ч)</w:t>
            </w:r>
          </w:p>
        </w:tc>
        <w:tc>
          <w:tcPr>
            <w:tcW w:w="1637"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13.4±0.0605</w:t>
            </w:r>
          </w:p>
        </w:tc>
        <w:tc>
          <w:tcPr>
            <w:tcW w:w="1731"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15.1±0.0134</w:t>
            </w:r>
          </w:p>
        </w:tc>
        <w:tc>
          <w:tcPr>
            <w:tcW w:w="1779" w:type="dxa"/>
            <w:vAlign w:val="center"/>
          </w:tcPr>
          <w:p w:rsidR="00BA5CCC" w:rsidRPr="007732E8" w:rsidRDefault="00BA5CCC" w:rsidP="00BA5CCC">
            <w:pPr>
              <w:spacing w:line="276" w:lineRule="auto"/>
              <w:jc w:val="center"/>
              <w:rPr>
                <w:rFonts w:ascii="Times New Roman" w:hAnsi="Times New Roman"/>
                <w:sz w:val="28"/>
                <w:szCs w:val="28"/>
              </w:rPr>
            </w:pPr>
            <w:r w:rsidRPr="007732E8">
              <w:rPr>
                <w:rFonts w:ascii="Times New Roman" w:hAnsi="Times New Roman"/>
                <w:sz w:val="28"/>
                <w:szCs w:val="28"/>
              </w:rPr>
              <w:t>18.7±0.0719</w:t>
            </w:r>
          </w:p>
        </w:tc>
        <w:tc>
          <w:tcPr>
            <w:tcW w:w="1798" w:type="dxa"/>
            <w:vAlign w:val="center"/>
          </w:tcPr>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BA5CCC" w:rsidRPr="007732E8" w:rsidRDefault="00BA5CCC" w:rsidP="00BA5CCC">
            <w:pPr>
              <w:spacing w:line="276"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bl>
    <w:p w:rsidR="00BA5CCC" w:rsidRPr="00BA5CCC" w:rsidRDefault="00BA5CCC" w:rsidP="00BA5CCC">
      <w:pPr>
        <w:spacing w:after="0" w:line="360" w:lineRule="auto"/>
        <w:jc w:val="both"/>
        <w:rPr>
          <w:rFonts w:ascii="Times New Roman" w:eastAsia="Calibri" w:hAnsi="Times New Roman" w:cs="Times New Roman"/>
          <w:b/>
          <w:sz w:val="28"/>
          <w:szCs w:val="28"/>
          <w:lang w:val="en-US"/>
        </w:rPr>
      </w:pPr>
    </w:p>
    <w:p w:rsidR="007732E8" w:rsidRPr="007732E8" w:rsidRDefault="007732E8" w:rsidP="008A2F75">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Базовые показатели лимфоцитарный активности в условиях высокогорье проявились наиболее активно, относительно исследуемых групп. Что </w:t>
      </w:r>
      <w:r w:rsidRPr="007732E8">
        <w:rPr>
          <w:rFonts w:ascii="Times New Roman" w:eastAsia="Calibri" w:hAnsi="Times New Roman" w:cs="Times New Roman"/>
          <w:sz w:val="28"/>
          <w:szCs w:val="28"/>
        </w:rPr>
        <w:lastRenderedPageBreak/>
        <w:t>свидетельствует раннем включение лимфоцитов в процесс иммунного ответа. Проведя параллель между нейтрофилами и лимфоцитами в исследуемых группах, возможно предположить что в высокогорных условиях происходит переход с неспецифического нейтрофильного иммунного ответа на лимфоцитарный, что в свою очередь, активирует клетки группы CD, тем самым увеличивая градиент нейтрофилы/лимфоциты у исследуемых в высокогорном регионе. В подтверждении данной идеи, выступает повышенное СОЭ в группе из высокогорного региона. Тромбоцитарная активность, также превалирует в крови жителей высокогорье относительно других исследуемых.</w:t>
      </w: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Calibri" w:eastAsia="Calibri" w:hAnsi="Calibri" w:cs="Times New Roman"/>
          <w:noProof/>
          <w:lang w:eastAsia="ru-RU"/>
        </w:rPr>
        <w:drawing>
          <wp:inline distT="0" distB="0" distL="0" distR="0" wp14:anchorId="76A9D5F3" wp14:editId="6C81C88E">
            <wp:extent cx="5524500" cy="3649980"/>
            <wp:effectExtent l="0" t="0" r="0" b="762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l="21538" t="13280" r="20946" b="18997"/>
                    <a:stretch>
                      <a:fillRect/>
                    </a:stretch>
                  </pic:blipFill>
                  <pic:spPr bwMode="auto">
                    <a:xfrm>
                      <a:off x="0" y="0"/>
                      <a:ext cx="5524500" cy="3649980"/>
                    </a:xfrm>
                    <a:prstGeom prst="rect">
                      <a:avLst/>
                    </a:prstGeom>
                    <a:noFill/>
                    <a:ln>
                      <a:noFill/>
                    </a:ln>
                  </pic:spPr>
                </pic:pic>
              </a:graphicData>
            </a:graphic>
          </wp:inline>
        </w:drawing>
      </w:r>
    </w:p>
    <w:p w:rsidR="007732E8" w:rsidRDefault="00BA5CCC" w:rsidP="007732E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3.2.3.1 </w:t>
      </w:r>
      <w:r w:rsidR="007732E8" w:rsidRPr="007732E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7732E8" w:rsidRPr="007732E8">
        <w:rPr>
          <w:rFonts w:ascii="Times New Roman" w:eastAsia="Calibri" w:hAnsi="Times New Roman" w:cs="Times New Roman"/>
          <w:sz w:val="28"/>
          <w:szCs w:val="28"/>
        </w:rPr>
        <w:t xml:space="preserve">Эритроцитарно-гемоглобиновый люфт в период заболевания </w:t>
      </w:r>
      <w:r w:rsidR="007732E8" w:rsidRPr="007732E8">
        <w:rPr>
          <w:rFonts w:ascii="Times New Roman" w:eastAsia="Calibri" w:hAnsi="Times New Roman" w:cs="Times New Roman"/>
          <w:sz w:val="28"/>
          <w:szCs w:val="28"/>
          <w:lang w:val="en-US"/>
        </w:rPr>
        <w:t>COVID</w:t>
      </w:r>
      <w:r w:rsidR="007732E8" w:rsidRPr="007732E8">
        <w:rPr>
          <w:rFonts w:ascii="Times New Roman" w:eastAsia="Calibri" w:hAnsi="Times New Roman" w:cs="Times New Roman"/>
          <w:sz w:val="28"/>
          <w:szCs w:val="28"/>
        </w:rPr>
        <w:t>-19 в условиях низко-, средне- и высокогорья.</w:t>
      </w:r>
    </w:p>
    <w:p w:rsidR="008A2F75" w:rsidRPr="007732E8" w:rsidRDefault="008A2F75" w:rsidP="007732E8">
      <w:pPr>
        <w:spacing w:after="0" w:line="360" w:lineRule="auto"/>
        <w:jc w:val="center"/>
        <w:rPr>
          <w:rFonts w:ascii="Times New Roman" w:eastAsia="Calibri" w:hAnsi="Times New Roman" w:cs="Times New Roman"/>
          <w:sz w:val="28"/>
          <w:szCs w:val="28"/>
        </w:rPr>
      </w:pPr>
    </w:p>
    <w:p w:rsidR="007732E8" w:rsidRPr="000A294B" w:rsidRDefault="007732E8" w:rsidP="008A2F75">
      <w:pPr>
        <w:spacing w:after="0" w:line="360" w:lineRule="auto"/>
        <w:ind w:firstLine="709"/>
        <w:jc w:val="both"/>
        <w:rPr>
          <w:rFonts w:ascii="Times New Roman" w:eastAsia="Calibri" w:hAnsi="Times New Roman" w:cs="Times New Roman"/>
          <w:spacing w:val="-6"/>
          <w:sz w:val="28"/>
          <w:szCs w:val="28"/>
        </w:rPr>
      </w:pPr>
      <w:r w:rsidRPr="000A294B">
        <w:rPr>
          <w:rFonts w:ascii="Times New Roman" w:eastAsia="Calibri" w:hAnsi="Times New Roman" w:cs="Times New Roman"/>
          <w:spacing w:val="-6"/>
          <w:sz w:val="28"/>
          <w:szCs w:val="28"/>
        </w:rPr>
        <w:t xml:space="preserve">Эритроцитарной и гемоглобин показатели в динамике, проявили относительно постоянство. Согласно, компенсаторным механизмам у исследуемых из высокогорного региона, отмечается повышенное значение обеих показателей. Усиление компенсаторных механизмов у пациентов во всех группах отмечается на пятый день заболеваний и выражается в увеличении показателей эритроцитов и гемоглобина. Значимое включение компенсации отмечалось в условиях </w:t>
      </w:r>
      <w:r w:rsidRPr="000A294B">
        <w:rPr>
          <w:rFonts w:ascii="Times New Roman" w:eastAsia="Calibri" w:hAnsi="Times New Roman" w:cs="Times New Roman"/>
          <w:spacing w:val="-6"/>
          <w:sz w:val="28"/>
          <w:szCs w:val="28"/>
        </w:rPr>
        <w:lastRenderedPageBreak/>
        <w:t>среднегорье, где гемоглобин и эритроциты повысились на 7% от искомого уровня в момент обращения. Низкогорный регион, отличился слабым нарастания исследуемых показателей и составил 2% роста от искомого уровня. Уровень параметров, у пациентов из высокогорного региона, также отмечали рост на 4%. Таким образом, пятые сутки с момента обращения, являются пиковым временем адаптивных механизмов к приобретённой гипоксии. В последующие дни, динамика проходила нисходящий путь по 0,5% каждые двое суток, стремясь к исходным значением. Данный феномен, объясняется составом исследуемых в набранных группах и дисперсионным распределением их тяжести состояния.</w:t>
      </w:r>
    </w:p>
    <w:p w:rsidR="008A2F75" w:rsidRPr="000A294B" w:rsidRDefault="008A2F75" w:rsidP="007732E8">
      <w:pPr>
        <w:spacing w:after="0" w:line="360" w:lineRule="auto"/>
        <w:jc w:val="both"/>
        <w:rPr>
          <w:rFonts w:ascii="Times New Roman" w:eastAsia="Calibri" w:hAnsi="Times New Roman" w:cs="Times New Roman"/>
          <w:b/>
          <w:spacing w:val="-6"/>
          <w:sz w:val="28"/>
          <w:szCs w:val="28"/>
        </w:rPr>
      </w:pPr>
    </w:p>
    <w:p w:rsidR="007732E8" w:rsidRPr="000A294B" w:rsidRDefault="007732E8" w:rsidP="008A2F75">
      <w:pPr>
        <w:spacing w:after="0" w:line="360" w:lineRule="auto"/>
        <w:ind w:firstLine="709"/>
        <w:jc w:val="both"/>
        <w:rPr>
          <w:rFonts w:ascii="Times New Roman" w:eastAsia="Calibri" w:hAnsi="Times New Roman" w:cs="Times New Roman"/>
          <w:b/>
          <w:spacing w:val="-6"/>
          <w:sz w:val="28"/>
          <w:szCs w:val="28"/>
        </w:rPr>
      </w:pPr>
      <w:r w:rsidRPr="000A294B">
        <w:rPr>
          <w:rFonts w:ascii="Times New Roman" w:eastAsia="Calibri" w:hAnsi="Times New Roman" w:cs="Times New Roman"/>
          <w:b/>
          <w:spacing w:val="-6"/>
          <w:sz w:val="28"/>
          <w:szCs w:val="28"/>
        </w:rPr>
        <w:t xml:space="preserve">3.2.4. Особенности изменения биохимических показателей крови у пациентов с </w:t>
      </w:r>
      <w:r w:rsidRPr="000A294B">
        <w:rPr>
          <w:rFonts w:ascii="Times New Roman" w:eastAsia="Calibri" w:hAnsi="Times New Roman" w:cs="Times New Roman"/>
          <w:b/>
          <w:spacing w:val="-6"/>
          <w:sz w:val="28"/>
          <w:szCs w:val="28"/>
          <w:lang w:val="en-US"/>
        </w:rPr>
        <w:t>COVID</w:t>
      </w:r>
      <w:r w:rsidRPr="000A294B">
        <w:rPr>
          <w:rFonts w:ascii="Times New Roman" w:eastAsia="Calibri" w:hAnsi="Times New Roman" w:cs="Times New Roman"/>
          <w:b/>
          <w:spacing w:val="-6"/>
          <w:sz w:val="28"/>
          <w:szCs w:val="28"/>
        </w:rPr>
        <w:t xml:space="preserve">-19 в условиях низко-, средне- и высокогорья. </w:t>
      </w:r>
    </w:p>
    <w:p w:rsidR="007732E8" w:rsidRPr="000A294B" w:rsidRDefault="007732E8" w:rsidP="008A2F75">
      <w:pPr>
        <w:spacing w:after="0" w:line="360" w:lineRule="auto"/>
        <w:ind w:firstLine="709"/>
        <w:jc w:val="both"/>
        <w:rPr>
          <w:rFonts w:ascii="Times New Roman" w:eastAsia="Calibri" w:hAnsi="Times New Roman" w:cs="Times New Roman"/>
          <w:spacing w:val="-6"/>
          <w:sz w:val="28"/>
          <w:szCs w:val="28"/>
        </w:rPr>
      </w:pPr>
      <w:r w:rsidRPr="000A294B">
        <w:rPr>
          <w:rFonts w:ascii="Times New Roman" w:eastAsia="Calibri" w:hAnsi="Times New Roman" w:cs="Times New Roman"/>
          <w:spacing w:val="-6"/>
          <w:sz w:val="28"/>
          <w:szCs w:val="28"/>
        </w:rPr>
        <w:t xml:space="preserve">Описывая полученные данные по биохимическим параметрам исследуемой групп, существенной разницы не обнаружено. Так значение глюкозы, билирубина АСТ и АЛТ не имеют статистический значимого люфта. Вышеуказанные параметры говорят о не вовлеченности соответствующих биохимических реакций в общие патологические процессы  и малую роль высокогорного фактора. Статистическая значимая разница выявлено в показателях белков крови, превалировали показатели у пациентов в высокогорном регионе, относительно исследуемых когорт. Полученные данные, косвенно подтверждают гипотезу отражены в разнице нейтрофилов лейкоцитов, указывая на более раннее вовлечение элементов гуморального иммунитета в качестве ответной реакции организма в период заболевания COVID-19, за счёт активации комплиментарный системы организма. </w:t>
      </w:r>
    </w:p>
    <w:p w:rsidR="007732E8" w:rsidRPr="000A294B" w:rsidRDefault="007732E8" w:rsidP="008A2F75">
      <w:pPr>
        <w:spacing w:after="0" w:line="360" w:lineRule="auto"/>
        <w:ind w:firstLine="709"/>
        <w:jc w:val="both"/>
        <w:rPr>
          <w:rFonts w:ascii="Times New Roman" w:eastAsia="Calibri" w:hAnsi="Times New Roman" w:cs="Times New Roman"/>
          <w:spacing w:val="-6"/>
          <w:sz w:val="28"/>
          <w:szCs w:val="28"/>
        </w:rPr>
      </w:pPr>
      <w:r w:rsidRPr="000A294B">
        <w:rPr>
          <w:rFonts w:ascii="Times New Roman" w:eastAsia="Calibri" w:hAnsi="Times New Roman" w:cs="Times New Roman"/>
          <w:spacing w:val="-6"/>
          <w:sz w:val="28"/>
          <w:szCs w:val="28"/>
        </w:rPr>
        <w:t xml:space="preserve">Клиренс липидного спектра, в условиях высокогорья также был повышен, указывая на общий кислородный голод у исследуемых пациентов из высокогорных условий. В сочетании с приобретённой гипоксией, пациенты в условиях гипоксической гипоксии подвержены более быстрому развитию патологий связаны с нарушением обмена липидов. И как обоснование, вышесказанного, нами посчитан коэффициент атерогенности, который достоверно превалирует у жителей </w:t>
      </w:r>
      <w:r w:rsidRPr="000A294B">
        <w:rPr>
          <w:rFonts w:ascii="Times New Roman" w:eastAsia="Calibri" w:hAnsi="Times New Roman" w:cs="Times New Roman"/>
          <w:spacing w:val="-6"/>
          <w:sz w:val="28"/>
          <w:szCs w:val="28"/>
        </w:rPr>
        <w:lastRenderedPageBreak/>
        <w:t xml:space="preserve">высокогорья, тогда как средне– и низкогорья не имеет достоверных различий. Данное суждение, укладывается в общую парадигму влияния высокогорного фактора на липидные обмен, тем самым COVID-19 можно считать фактором риска в механизме развития на заболеваний липидной природы. </w:t>
      </w:r>
    </w:p>
    <w:p w:rsidR="008A2F75" w:rsidRDefault="007732E8" w:rsidP="008A2F75">
      <w:pPr>
        <w:spacing w:after="0" w:line="360" w:lineRule="auto"/>
        <w:ind w:firstLine="709"/>
        <w:jc w:val="both"/>
        <w:rPr>
          <w:rFonts w:ascii="Times New Roman" w:eastAsia="Calibri" w:hAnsi="Times New Roman" w:cs="Times New Roman"/>
          <w:sz w:val="28"/>
          <w:szCs w:val="28"/>
        </w:rPr>
      </w:pPr>
      <w:r w:rsidRPr="000A294B">
        <w:rPr>
          <w:rFonts w:ascii="Times New Roman" w:eastAsia="Calibri" w:hAnsi="Times New Roman" w:cs="Times New Roman"/>
          <w:spacing w:val="-6"/>
          <w:sz w:val="28"/>
          <w:szCs w:val="28"/>
        </w:rPr>
        <w:t>Показатели С-реактивного белка, активны во всех трёх группах с незначительно завышенными показателями в высокогорным регионе. Данное явление, косвенно подтверждает влияние дефицита АПФ2  в условиях высокогорья. Суммируя все полученные данные за природу возникновения изменения в ряде показателей описанных в данном разделе будут детальные обсуждены последующих разделах. При исследовании электролитов, нами выявлено разница в сторону повышения, в высокогорном регионе уровня калия и низкие показатели натрия относительно других когорт, что укладывается в гипотезу влияние дефицита АПФ2 на обмен натрия и калия в почечных канальцах в рамках ренина ангиотензин альдестероновой системы. Подтверждением вышесказанного служит отсутствие разницы в показателях кальция и хлора, что свидетельствует об неучастии иных механизмов электролитного регулирования у исследуемых групп</w:t>
      </w:r>
      <w:r w:rsidRPr="007732E8">
        <w:rPr>
          <w:rFonts w:ascii="Times New Roman" w:eastAsia="Calibri" w:hAnsi="Times New Roman" w:cs="Times New Roman"/>
          <w:sz w:val="28"/>
          <w:szCs w:val="28"/>
        </w:rPr>
        <w:t>.</w:t>
      </w:r>
    </w:p>
    <w:p w:rsidR="000A294B" w:rsidRPr="000A294B" w:rsidRDefault="000A294B" w:rsidP="008A2F75">
      <w:pPr>
        <w:spacing w:after="0" w:line="360" w:lineRule="auto"/>
        <w:ind w:firstLine="709"/>
        <w:jc w:val="both"/>
        <w:rPr>
          <w:rFonts w:ascii="Times New Roman" w:eastAsia="Calibri" w:hAnsi="Times New Roman" w:cs="Times New Roman"/>
          <w:sz w:val="14"/>
          <w:szCs w:val="28"/>
        </w:rPr>
      </w:pPr>
    </w:p>
    <w:p w:rsidR="007732E8" w:rsidRDefault="008A2F75" w:rsidP="00BA5CCC">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sidR="007732E8" w:rsidRPr="007732E8">
        <w:rPr>
          <w:rFonts w:ascii="Times New Roman" w:eastAsia="Calibri" w:hAnsi="Times New Roman" w:cs="Times New Roman"/>
          <w:sz w:val="28"/>
          <w:szCs w:val="28"/>
        </w:rPr>
        <w:t>аблица 3.2.4.1</w:t>
      </w:r>
      <w:r w:rsidR="00BA5CCC">
        <w:rPr>
          <w:rFonts w:ascii="Times New Roman" w:eastAsia="Calibri" w:hAnsi="Times New Roman" w:cs="Times New Roman"/>
          <w:sz w:val="28"/>
          <w:szCs w:val="28"/>
        </w:rPr>
        <w:t xml:space="preserve"> ‒</w:t>
      </w:r>
      <w:r w:rsidR="007732E8" w:rsidRPr="007732E8">
        <w:rPr>
          <w:rFonts w:ascii="Times New Roman" w:eastAsia="Calibri" w:hAnsi="Times New Roman" w:cs="Times New Roman"/>
          <w:sz w:val="28"/>
          <w:szCs w:val="28"/>
        </w:rPr>
        <w:t xml:space="preserve"> Сравнительная характеристика показателей биохимического анализа и электролитов  крови у пациентов с </w:t>
      </w:r>
      <w:r w:rsidR="007732E8" w:rsidRPr="007732E8">
        <w:rPr>
          <w:rFonts w:ascii="Times New Roman" w:eastAsia="Calibri" w:hAnsi="Times New Roman" w:cs="Times New Roman"/>
          <w:sz w:val="28"/>
          <w:szCs w:val="28"/>
          <w:lang w:val="en-US"/>
        </w:rPr>
        <w:t>COVID</w:t>
      </w:r>
      <w:r w:rsidR="007732E8" w:rsidRPr="007732E8">
        <w:rPr>
          <w:rFonts w:ascii="Times New Roman" w:eastAsia="Calibri" w:hAnsi="Times New Roman" w:cs="Times New Roman"/>
          <w:sz w:val="28"/>
          <w:szCs w:val="28"/>
        </w:rPr>
        <w:t>-19  в условия</w:t>
      </w:r>
      <w:r w:rsidR="00BA5CCC">
        <w:rPr>
          <w:rFonts w:ascii="Times New Roman" w:eastAsia="Calibri" w:hAnsi="Times New Roman" w:cs="Times New Roman"/>
          <w:sz w:val="28"/>
          <w:szCs w:val="28"/>
        </w:rPr>
        <w:t>х низко-, средне- и высокогорья</w:t>
      </w:r>
    </w:p>
    <w:tbl>
      <w:tblPr>
        <w:tblStyle w:val="a3"/>
        <w:tblW w:w="0" w:type="auto"/>
        <w:tblLook w:val="04A0" w:firstRow="1" w:lastRow="0" w:firstColumn="1" w:lastColumn="0" w:noHBand="0" w:noVBand="1"/>
      </w:tblPr>
      <w:tblGrid>
        <w:gridCol w:w="675"/>
        <w:gridCol w:w="2268"/>
        <w:gridCol w:w="1701"/>
        <w:gridCol w:w="1701"/>
        <w:gridCol w:w="1866"/>
        <w:gridCol w:w="1536"/>
      </w:tblGrid>
      <w:tr w:rsidR="00BA5CCC" w:rsidTr="000A294B">
        <w:tc>
          <w:tcPr>
            <w:tcW w:w="675" w:type="dxa"/>
            <w:vAlign w:val="center"/>
          </w:tcPr>
          <w:p w:rsidR="00BA5CCC" w:rsidRPr="008A2F75" w:rsidRDefault="00BA5CCC" w:rsidP="00EB2490">
            <w:pPr>
              <w:ind w:right="111"/>
              <w:jc w:val="both"/>
              <w:rPr>
                <w:rFonts w:ascii="Times New Roman" w:hAnsi="Times New Roman"/>
                <w:sz w:val="24"/>
                <w:szCs w:val="24"/>
              </w:rPr>
            </w:pPr>
            <w:r w:rsidRPr="008A2F75">
              <w:rPr>
                <w:rFonts w:ascii="Times New Roman" w:hAnsi="Times New Roman"/>
                <w:sz w:val="24"/>
                <w:szCs w:val="24"/>
              </w:rPr>
              <w:t>№</w:t>
            </w:r>
          </w:p>
        </w:tc>
        <w:tc>
          <w:tcPr>
            <w:tcW w:w="2268" w:type="dxa"/>
            <w:vAlign w:val="center"/>
          </w:tcPr>
          <w:p w:rsidR="00BA5CCC" w:rsidRPr="008A2F75" w:rsidRDefault="00BA5CCC" w:rsidP="00EB2490">
            <w:pPr>
              <w:ind w:right="111"/>
              <w:jc w:val="center"/>
              <w:rPr>
                <w:rFonts w:ascii="Times New Roman" w:hAnsi="Times New Roman"/>
                <w:sz w:val="24"/>
                <w:szCs w:val="24"/>
              </w:rPr>
            </w:pPr>
            <w:r w:rsidRPr="008A2F75">
              <w:rPr>
                <w:rFonts w:ascii="Times New Roman" w:hAnsi="Times New Roman"/>
                <w:sz w:val="24"/>
                <w:szCs w:val="24"/>
              </w:rPr>
              <w:t>Показатель</w:t>
            </w:r>
          </w:p>
        </w:tc>
        <w:tc>
          <w:tcPr>
            <w:tcW w:w="1701" w:type="dxa"/>
            <w:vAlign w:val="center"/>
          </w:tcPr>
          <w:p w:rsidR="00BA5CCC" w:rsidRPr="008A2F75" w:rsidRDefault="00BA5CCC" w:rsidP="00EB2490">
            <w:pPr>
              <w:ind w:right="111"/>
              <w:jc w:val="center"/>
              <w:rPr>
                <w:rFonts w:ascii="Times New Roman" w:hAnsi="Times New Roman"/>
                <w:sz w:val="24"/>
                <w:szCs w:val="24"/>
              </w:rPr>
            </w:pPr>
            <w:r w:rsidRPr="008A2F75">
              <w:rPr>
                <w:rFonts w:ascii="Times New Roman" w:hAnsi="Times New Roman"/>
                <w:sz w:val="24"/>
                <w:szCs w:val="24"/>
              </w:rPr>
              <w:t>Низкогорье</w:t>
            </w:r>
          </w:p>
          <w:p w:rsidR="00BA5CCC" w:rsidRPr="008A2F75" w:rsidRDefault="00BA5CCC"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(n</w:t>
            </w:r>
            <w:r w:rsidRPr="008A2F75">
              <w:rPr>
                <w:rFonts w:ascii="Times New Roman" w:hAnsi="Times New Roman"/>
                <w:sz w:val="24"/>
                <w:szCs w:val="24"/>
              </w:rPr>
              <w:t>=</w:t>
            </w:r>
            <w:r w:rsidRPr="008A2F75">
              <w:rPr>
                <w:rFonts w:ascii="Times New Roman" w:hAnsi="Times New Roman"/>
                <w:sz w:val="24"/>
                <w:szCs w:val="24"/>
                <w:lang w:val="en-US"/>
              </w:rPr>
              <w:t>2</w:t>
            </w:r>
            <w:r w:rsidRPr="008A2F75">
              <w:rPr>
                <w:rFonts w:ascii="Times New Roman" w:hAnsi="Times New Roman"/>
                <w:sz w:val="24"/>
                <w:szCs w:val="24"/>
              </w:rPr>
              <w:t>00</w:t>
            </w:r>
            <w:r w:rsidRPr="008A2F75">
              <w:rPr>
                <w:rFonts w:ascii="Times New Roman" w:hAnsi="Times New Roman"/>
                <w:sz w:val="24"/>
                <w:szCs w:val="24"/>
                <w:lang w:val="en-US"/>
              </w:rPr>
              <w:t>)</w:t>
            </w:r>
          </w:p>
          <w:p w:rsidR="00BA5CCC" w:rsidRPr="008A2F75" w:rsidRDefault="00BA5CCC" w:rsidP="00EB2490">
            <w:pPr>
              <w:ind w:right="111"/>
              <w:jc w:val="center"/>
              <w:rPr>
                <w:rFonts w:ascii="Times New Roman" w:hAnsi="Times New Roman"/>
                <w:sz w:val="24"/>
                <w:szCs w:val="24"/>
              </w:rPr>
            </w:pPr>
            <w:r w:rsidRPr="008A2F75">
              <w:rPr>
                <w:rFonts w:ascii="Times New Roman" w:hAnsi="Times New Roman"/>
                <w:sz w:val="24"/>
                <w:szCs w:val="24"/>
                <w:lang w:val="en-US"/>
              </w:rPr>
              <w:t>a</w:t>
            </w:r>
          </w:p>
        </w:tc>
        <w:tc>
          <w:tcPr>
            <w:tcW w:w="1701" w:type="dxa"/>
            <w:vAlign w:val="center"/>
          </w:tcPr>
          <w:p w:rsidR="00BA5CCC" w:rsidRPr="008A2F75" w:rsidRDefault="00BA5CCC" w:rsidP="00EB2490">
            <w:pPr>
              <w:ind w:right="111"/>
              <w:jc w:val="center"/>
              <w:rPr>
                <w:rFonts w:ascii="Times New Roman" w:hAnsi="Times New Roman"/>
                <w:sz w:val="24"/>
                <w:szCs w:val="24"/>
              </w:rPr>
            </w:pPr>
            <w:r w:rsidRPr="008A2F75">
              <w:rPr>
                <w:rFonts w:ascii="Times New Roman" w:hAnsi="Times New Roman"/>
                <w:sz w:val="24"/>
                <w:szCs w:val="24"/>
              </w:rPr>
              <w:t>Среднегорье</w:t>
            </w:r>
          </w:p>
          <w:p w:rsidR="00BA5CCC" w:rsidRPr="008A2F75" w:rsidRDefault="00BA5CCC" w:rsidP="00EB2490">
            <w:pPr>
              <w:ind w:right="111"/>
              <w:jc w:val="center"/>
              <w:rPr>
                <w:rFonts w:ascii="Times New Roman" w:hAnsi="Times New Roman"/>
                <w:sz w:val="24"/>
                <w:szCs w:val="24"/>
              </w:rPr>
            </w:pPr>
            <w:r w:rsidRPr="008A2F75">
              <w:rPr>
                <w:rFonts w:ascii="Times New Roman" w:hAnsi="Times New Roman"/>
                <w:sz w:val="24"/>
                <w:szCs w:val="24"/>
                <w:lang w:val="en-US"/>
              </w:rPr>
              <w:t>(n</w:t>
            </w:r>
            <w:r w:rsidRPr="008A2F75">
              <w:rPr>
                <w:rFonts w:ascii="Times New Roman" w:hAnsi="Times New Roman"/>
                <w:sz w:val="24"/>
                <w:szCs w:val="24"/>
              </w:rPr>
              <w:t>=</w:t>
            </w:r>
            <w:r w:rsidRPr="008A2F75">
              <w:rPr>
                <w:rFonts w:ascii="Times New Roman" w:hAnsi="Times New Roman"/>
                <w:sz w:val="24"/>
                <w:szCs w:val="24"/>
                <w:lang w:val="en-US"/>
              </w:rPr>
              <w:t>2</w:t>
            </w:r>
            <w:r w:rsidRPr="008A2F75">
              <w:rPr>
                <w:rFonts w:ascii="Times New Roman" w:hAnsi="Times New Roman"/>
                <w:sz w:val="24"/>
                <w:szCs w:val="24"/>
              </w:rPr>
              <w:t>00</w:t>
            </w:r>
            <w:r w:rsidRPr="008A2F75">
              <w:rPr>
                <w:rFonts w:ascii="Times New Roman" w:hAnsi="Times New Roman"/>
                <w:sz w:val="24"/>
                <w:szCs w:val="24"/>
                <w:lang w:val="en-US"/>
              </w:rPr>
              <w:t>) b</w:t>
            </w:r>
          </w:p>
        </w:tc>
        <w:tc>
          <w:tcPr>
            <w:tcW w:w="1866" w:type="dxa"/>
            <w:vAlign w:val="center"/>
          </w:tcPr>
          <w:p w:rsidR="00BA5CCC" w:rsidRPr="008A2F75" w:rsidRDefault="00BA5CCC" w:rsidP="00EB2490">
            <w:pPr>
              <w:ind w:right="111"/>
              <w:jc w:val="center"/>
              <w:rPr>
                <w:rFonts w:ascii="Times New Roman" w:hAnsi="Times New Roman"/>
                <w:sz w:val="24"/>
                <w:szCs w:val="24"/>
              </w:rPr>
            </w:pPr>
            <w:r w:rsidRPr="008A2F75">
              <w:rPr>
                <w:rFonts w:ascii="Times New Roman" w:hAnsi="Times New Roman"/>
                <w:sz w:val="24"/>
                <w:szCs w:val="24"/>
              </w:rPr>
              <w:t>Высокогорье</w:t>
            </w:r>
          </w:p>
          <w:p w:rsidR="00BA5CCC" w:rsidRPr="008A2F75" w:rsidRDefault="00BA5CCC"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(n</w:t>
            </w:r>
            <w:r w:rsidRPr="008A2F75">
              <w:rPr>
                <w:rFonts w:ascii="Times New Roman" w:hAnsi="Times New Roman"/>
                <w:sz w:val="24"/>
                <w:szCs w:val="24"/>
              </w:rPr>
              <w:t>=</w:t>
            </w:r>
            <w:r w:rsidRPr="008A2F75">
              <w:rPr>
                <w:rFonts w:ascii="Times New Roman" w:hAnsi="Times New Roman"/>
                <w:sz w:val="24"/>
                <w:szCs w:val="24"/>
                <w:lang w:val="en-US"/>
              </w:rPr>
              <w:t>2</w:t>
            </w:r>
            <w:r w:rsidRPr="008A2F75">
              <w:rPr>
                <w:rFonts w:ascii="Times New Roman" w:hAnsi="Times New Roman"/>
                <w:sz w:val="24"/>
                <w:szCs w:val="24"/>
              </w:rPr>
              <w:t>00</w:t>
            </w:r>
            <w:r w:rsidRPr="008A2F75">
              <w:rPr>
                <w:rFonts w:ascii="Times New Roman" w:hAnsi="Times New Roman"/>
                <w:sz w:val="24"/>
                <w:szCs w:val="24"/>
                <w:lang w:val="en-US"/>
              </w:rPr>
              <w:t>)</w:t>
            </w:r>
          </w:p>
          <w:p w:rsidR="00BA5CCC" w:rsidRPr="008A2F75" w:rsidRDefault="00BA5CCC" w:rsidP="00EB2490">
            <w:pPr>
              <w:ind w:right="111"/>
              <w:jc w:val="center"/>
              <w:rPr>
                <w:rFonts w:ascii="Times New Roman" w:hAnsi="Times New Roman"/>
                <w:sz w:val="24"/>
                <w:szCs w:val="24"/>
              </w:rPr>
            </w:pPr>
            <w:r w:rsidRPr="008A2F75">
              <w:rPr>
                <w:rFonts w:ascii="Times New Roman" w:hAnsi="Times New Roman"/>
                <w:sz w:val="24"/>
                <w:szCs w:val="24"/>
                <w:lang w:val="en-US"/>
              </w:rPr>
              <w:t>c</w:t>
            </w:r>
          </w:p>
        </w:tc>
        <w:tc>
          <w:tcPr>
            <w:tcW w:w="1536" w:type="dxa"/>
            <w:vAlign w:val="center"/>
          </w:tcPr>
          <w:p w:rsidR="00BA5CCC" w:rsidRPr="008A2F75" w:rsidRDefault="00BA5CCC" w:rsidP="00EB2490">
            <w:pPr>
              <w:ind w:right="111"/>
              <w:jc w:val="center"/>
              <w:rPr>
                <w:rFonts w:ascii="Times New Roman" w:hAnsi="Times New Roman"/>
                <w:sz w:val="24"/>
                <w:szCs w:val="24"/>
              </w:rPr>
            </w:pPr>
            <w:r w:rsidRPr="008A2F75">
              <w:rPr>
                <w:rFonts w:ascii="Times New Roman" w:hAnsi="Times New Roman"/>
                <w:sz w:val="24"/>
                <w:szCs w:val="24"/>
                <w:lang w:val="en-US"/>
              </w:rPr>
              <w:t>p</w:t>
            </w:r>
          </w:p>
        </w:tc>
      </w:tr>
      <w:tr w:rsidR="00BA5CCC" w:rsidRPr="000D1F9B" w:rsidTr="000A294B">
        <w:tc>
          <w:tcPr>
            <w:tcW w:w="675" w:type="dxa"/>
            <w:vAlign w:val="center"/>
          </w:tcPr>
          <w:p w:rsidR="00BA5CCC" w:rsidRPr="008A2F75" w:rsidRDefault="00BA5CCC" w:rsidP="00EB2490">
            <w:pPr>
              <w:ind w:right="111"/>
              <w:jc w:val="both"/>
              <w:rPr>
                <w:rFonts w:ascii="Times New Roman" w:hAnsi="Times New Roman"/>
                <w:sz w:val="24"/>
                <w:szCs w:val="24"/>
              </w:rPr>
            </w:pPr>
            <w:r w:rsidRPr="008A2F75">
              <w:rPr>
                <w:rFonts w:ascii="Times New Roman" w:hAnsi="Times New Roman"/>
                <w:sz w:val="24"/>
                <w:szCs w:val="24"/>
              </w:rPr>
              <w:t>1</w:t>
            </w:r>
          </w:p>
        </w:tc>
        <w:tc>
          <w:tcPr>
            <w:tcW w:w="2268" w:type="dxa"/>
            <w:vAlign w:val="center"/>
          </w:tcPr>
          <w:p w:rsidR="00BA5CCC" w:rsidRPr="008A2F75" w:rsidRDefault="00BA5CCC" w:rsidP="00EB2490">
            <w:pPr>
              <w:ind w:right="111"/>
              <w:jc w:val="center"/>
              <w:rPr>
                <w:rFonts w:ascii="Times New Roman" w:hAnsi="Times New Roman"/>
                <w:sz w:val="24"/>
                <w:szCs w:val="24"/>
              </w:rPr>
            </w:pPr>
            <w:r w:rsidRPr="008A2F75">
              <w:rPr>
                <w:rFonts w:ascii="Times New Roman" w:hAnsi="Times New Roman"/>
                <w:sz w:val="24"/>
                <w:szCs w:val="24"/>
              </w:rPr>
              <w:t>Глюкоза (ммоль/л)</w:t>
            </w:r>
          </w:p>
        </w:tc>
        <w:tc>
          <w:tcPr>
            <w:tcW w:w="1701" w:type="dxa"/>
            <w:vAlign w:val="center"/>
          </w:tcPr>
          <w:p w:rsidR="00BA5CCC" w:rsidRPr="008A2F75" w:rsidRDefault="00BA5CCC" w:rsidP="00EB2490">
            <w:pPr>
              <w:ind w:right="111"/>
              <w:jc w:val="center"/>
              <w:rPr>
                <w:rFonts w:ascii="Times New Roman" w:hAnsi="Times New Roman"/>
                <w:sz w:val="24"/>
                <w:szCs w:val="24"/>
              </w:rPr>
            </w:pPr>
            <w:r w:rsidRPr="008A2F75">
              <w:rPr>
                <w:rFonts w:ascii="Times New Roman" w:hAnsi="Times New Roman"/>
                <w:sz w:val="24"/>
                <w:szCs w:val="24"/>
              </w:rPr>
              <w:t>4.17±0.218</w:t>
            </w:r>
          </w:p>
        </w:tc>
        <w:tc>
          <w:tcPr>
            <w:tcW w:w="1701" w:type="dxa"/>
            <w:vAlign w:val="center"/>
          </w:tcPr>
          <w:p w:rsidR="00BA5CCC" w:rsidRPr="008A2F75" w:rsidRDefault="00BA5CCC" w:rsidP="00EB2490">
            <w:pPr>
              <w:ind w:right="111"/>
              <w:jc w:val="center"/>
              <w:rPr>
                <w:rFonts w:ascii="Times New Roman" w:hAnsi="Times New Roman"/>
                <w:sz w:val="24"/>
                <w:szCs w:val="24"/>
              </w:rPr>
            </w:pPr>
            <w:r w:rsidRPr="008A2F75">
              <w:rPr>
                <w:rFonts w:ascii="Times New Roman" w:hAnsi="Times New Roman"/>
                <w:sz w:val="24"/>
                <w:szCs w:val="24"/>
              </w:rPr>
              <w:t>4.45±0.217</w:t>
            </w:r>
          </w:p>
        </w:tc>
        <w:tc>
          <w:tcPr>
            <w:tcW w:w="1866" w:type="dxa"/>
            <w:vAlign w:val="center"/>
          </w:tcPr>
          <w:p w:rsidR="00BA5CCC" w:rsidRPr="008A2F75" w:rsidRDefault="00BA5CCC" w:rsidP="00EB2490">
            <w:pPr>
              <w:ind w:right="111"/>
              <w:jc w:val="center"/>
              <w:rPr>
                <w:rFonts w:ascii="Times New Roman" w:hAnsi="Times New Roman"/>
                <w:sz w:val="24"/>
                <w:szCs w:val="24"/>
              </w:rPr>
            </w:pPr>
            <w:r w:rsidRPr="008A2F75">
              <w:rPr>
                <w:rFonts w:ascii="Times New Roman" w:hAnsi="Times New Roman"/>
                <w:sz w:val="24"/>
                <w:szCs w:val="24"/>
              </w:rPr>
              <w:t>4.51±0.216</w:t>
            </w:r>
          </w:p>
        </w:tc>
        <w:tc>
          <w:tcPr>
            <w:tcW w:w="1536" w:type="dxa"/>
            <w:vAlign w:val="center"/>
          </w:tcPr>
          <w:p w:rsidR="00BA5CCC" w:rsidRPr="008A2F75" w:rsidRDefault="00BA5CCC"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p(a\b)˂0.05</w:t>
            </w:r>
          </w:p>
          <w:p w:rsidR="00BA5CCC" w:rsidRPr="008A2F75" w:rsidRDefault="00BA5CCC"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p(b\c)˂0.05</w:t>
            </w:r>
          </w:p>
          <w:p w:rsidR="00BA5CCC" w:rsidRPr="008A2F75" w:rsidRDefault="00BA5CCC"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p(a\c)˂0.05</w:t>
            </w:r>
          </w:p>
        </w:tc>
      </w:tr>
      <w:tr w:rsidR="00BA5CCC" w:rsidRPr="000D1F9B" w:rsidTr="000A294B">
        <w:tc>
          <w:tcPr>
            <w:tcW w:w="675" w:type="dxa"/>
            <w:vAlign w:val="center"/>
          </w:tcPr>
          <w:p w:rsidR="00BA5CCC" w:rsidRPr="008A2F75" w:rsidRDefault="00BA5CCC" w:rsidP="00EB2490">
            <w:pPr>
              <w:ind w:right="111"/>
              <w:jc w:val="both"/>
              <w:rPr>
                <w:rFonts w:ascii="Times New Roman" w:hAnsi="Times New Roman"/>
                <w:sz w:val="24"/>
                <w:szCs w:val="24"/>
              </w:rPr>
            </w:pPr>
            <w:r w:rsidRPr="008A2F75">
              <w:rPr>
                <w:rFonts w:ascii="Times New Roman" w:hAnsi="Times New Roman"/>
                <w:sz w:val="24"/>
                <w:szCs w:val="24"/>
              </w:rPr>
              <w:t>2</w:t>
            </w:r>
          </w:p>
        </w:tc>
        <w:tc>
          <w:tcPr>
            <w:tcW w:w="2268" w:type="dxa"/>
            <w:vAlign w:val="center"/>
          </w:tcPr>
          <w:p w:rsidR="00BA5CCC" w:rsidRPr="008A2F75" w:rsidRDefault="00BA5CCC" w:rsidP="00EB2490">
            <w:pPr>
              <w:ind w:right="111"/>
              <w:jc w:val="center"/>
              <w:rPr>
                <w:rFonts w:ascii="Times New Roman" w:hAnsi="Times New Roman"/>
                <w:sz w:val="24"/>
                <w:szCs w:val="24"/>
              </w:rPr>
            </w:pPr>
            <w:r w:rsidRPr="008A2F75">
              <w:rPr>
                <w:rFonts w:ascii="Times New Roman" w:hAnsi="Times New Roman"/>
                <w:sz w:val="24"/>
                <w:szCs w:val="24"/>
              </w:rPr>
              <w:t>Биллирубин (мкмоль/л)</w:t>
            </w:r>
          </w:p>
        </w:tc>
        <w:tc>
          <w:tcPr>
            <w:tcW w:w="1701" w:type="dxa"/>
            <w:vAlign w:val="center"/>
          </w:tcPr>
          <w:p w:rsidR="00BA5CCC" w:rsidRPr="008A2F75" w:rsidRDefault="00BA5CCC" w:rsidP="00EB2490">
            <w:pPr>
              <w:ind w:right="111"/>
              <w:jc w:val="center"/>
              <w:rPr>
                <w:rFonts w:ascii="Times New Roman" w:hAnsi="Times New Roman"/>
                <w:sz w:val="24"/>
                <w:szCs w:val="24"/>
              </w:rPr>
            </w:pPr>
            <w:r w:rsidRPr="008A2F75">
              <w:rPr>
                <w:rFonts w:ascii="Times New Roman" w:hAnsi="Times New Roman"/>
                <w:sz w:val="24"/>
                <w:szCs w:val="24"/>
              </w:rPr>
              <w:t>6.51±0.1192</w:t>
            </w:r>
          </w:p>
        </w:tc>
        <w:tc>
          <w:tcPr>
            <w:tcW w:w="1701" w:type="dxa"/>
            <w:vAlign w:val="center"/>
          </w:tcPr>
          <w:p w:rsidR="00BA5CCC" w:rsidRPr="008A2F75" w:rsidRDefault="00BA5CCC" w:rsidP="00EB2490">
            <w:pPr>
              <w:ind w:right="111"/>
              <w:jc w:val="center"/>
              <w:rPr>
                <w:rFonts w:ascii="Times New Roman" w:hAnsi="Times New Roman"/>
                <w:sz w:val="24"/>
                <w:szCs w:val="24"/>
              </w:rPr>
            </w:pPr>
            <w:r w:rsidRPr="008A2F75">
              <w:rPr>
                <w:rFonts w:ascii="Times New Roman" w:hAnsi="Times New Roman"/>
                <w:sz w:val="24"/>
                <w:szCs w:val="24"/>
              </w:rPr>
              <w:t>7.27±0.1163</w:t>
            </w:r>
          </w:p>
        </w:tc>
        <w:tc>
          <w:tcPr>
            <w:tcW w:w="1866" w:type="dxa"/>
            <w:vAlign w:val="center"/>
          </w:tcPr>
          <w:p w:rsidR="00BA5CCC" w:rsidRPr="008A2F75" w:rsidRDefault="00BA5CCC" w:rsidP="00EB2490">
            <w:pPr>
              <w:ind w:right="111"/>
              <w:jc w:val="center"/>
              <w:rPr>
                <w:rFonts w:ascii="Times New Roman" w:hAnsi="Times New Roman"/>
                <w:sz w:val="24"/>
                <w:szCs w:val="24"/>
              </w:rPr>
            </w:pPr>
            <w:r w:rsidRPr="008A2F75">
              <w:rPr>
                <w:rFonts w:ascii="Times New Roman" w:hAnsi="Times New Roman"/>
                <w:sz w:val="24"/>
                <w:szCs w:val="24"/>
              </w:rPr>
              <w:t>8.73±0.1233</w:t>
            </w:r>
          </w:p>
        </w:tc>
        <w:tc>
          <w:tcPr>
            <w:tcW w:w="1536" w:type="dxa"/>
            <w:vAlign w:val="center"/>
          </w:tcPr>
          <w:p w:rsidR="00BA5CCC" w:rsidRPr="008A2F75" w:rsidRDefault="00BA5CCC"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p(a\b)˂0.05</w:t>
            </w:r>
          </w:p>
          <w:p w:rsidR="00BA5CCC" w:rsidRPr="008A2F75" w:rsidRDefault="00BA5CCC"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p(b\c)˂0.05</w:t>
            </w:r>
          </w:p>
          <w:p w:rsidR="00BA5CCC" w:rsidRPr="00EB2490" w:rsidRDefault="00BA5CCC"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p(a\c)˂0.05</w:t>
            </w:r>
          </w:p>
          <w:p w:rsidR="00BA5CCC" w:rsidRPr="00EB2490" w:rsidRDefault="00BA5CCC" w:rsidP="00EB2490">
            <w:pPr>
              <w:ind w:right="111"/>
              <w:jc w:val="center"/>
              <w:rPr>
                <w:rFonts w:ascii="Times New Roman" w:hAnsi="Times New Roman"/>
                <w:sz w:val="24"/>
                <w:szCs w:val="24"/>
                <w:lang w:val="en-US"/>
              </w:rPr>
            </w:pPr>
          </w:p>
        </w:tc>
      </w:tr>
      <w:tr w:rsidR="000A294B" w:rsidRPr="000D1F9B" w:rsidTr="000A294B">
        <w:tc>
          <w:tcPr>
            <w:tcW w:w="675" w:type="dxa"/>
            <w:vAlign w:val="center"/>
          </w:tcPr>
          <w:p w:rsidR="000A294B" w:rsidRPr="008A2F75" w:rsidRDefault="000A294B" w:rsidP="00EB2490">
            <w:pPr>
              <w:ind w:right="111"/>
              <w:jc w:val="both"/>
              <w:rPr>
                <w:rFonts w:ascii="Times New Roman" w:hAnsi="Times New Roman"/>
                <w:sz w:val="24"/>
                <w:szCs w:val="24"/>
              </w:rPr>
            </w:pPr>
            <w:r w:rsidRPr="008A2F75">
              <w:rPr>
                <w:rFonts w:ascii="Times New Roman" w:hAnsi="Times New Roman"/>
                <w:sz w:val="24"/>
                <w:szCs w:val="24"/>
              </w:rPr>
              <w:t>3</w:t>
            </w:r>
          </w:p>
        </w:tc>
        <w:tc>
          <w:tcPr>
            <w:tcW w:w="2268"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Общий белок (г/л)</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66.3±1.371</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57.4±1.223</w:t>
            </w:r>
          </w:p>
        </w:tc>
        <w:tc>
          <w:tcPr>
            <w:tcW w:w="1866"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70.5±1.338</w:t>
            </w:r>
          </w:p>
        </w:tc>
        <w:tc>
          <w:tcPr>
            <w:tcW w:w="1536" w:type="dxa"/>
            <w:vAlign w:val="center"/>
          </w:tcPr>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p(a\b)˂0.05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p(b\c)˂0.05</w:t>
            </w:r>
          </w:p>
          <w:p w:rsidR="000A294B" w:rsidRPr="00EB2490"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p(a\c)˂0.05</w:t>
            </w:r>
          </w:p>
          <w:p w:rsidR="000A294B" w:rsidRPr="00EB2490" w:rsidRDefault="000A294B" w:rsidP="00EB2490">
            <w:pPr>
              <w:ind w:right="111"/>
              <w:jc w:val="center"/>
              <w:rPr>
                <w:rFonts w:ascii="Times New Roman" w:hAnsi="Times New Roman"/>
                <w:sz w:val="24"/>
                <w:szCs w:val="24"/>
                <w:lang w:val="en-US"/>
              </w:rPr>
            </w:pPr>
          </w:p>
        </w:tc>
      </w:tr>
    </w:tbl>
    <w:p w:rsidR="000A294B" w:rsidRPr="000A294B" w:rsidRDefault="000A294B" w:rsidP="000A294B">
      <w:pPr>
        <w:spacing w:after="0" w:line="360" w:lineRule="auto"/>
        <w:jc w:val="right"/>
        <w:rPr>
          <w:rFonts w:ascii="Times New Roman" w:eastAsia="Calibri" w:hAnsi="Times New Roman" w:cs="Times New Roman"/>
          <w:i/>
          <w:sz w:val="28"/>
          <w:szCs w:val="28"/>
        </w:rPr>
      </w:pPr>
      <w:r w:rsidRPr="000A294B">
        <w:rPr>
          <w:rFonts w:ascii="Times New Roman" w:eastAsia="Calibri" w:hAnsi="Times New Roman" w:cs="Times New Roman"/>
          <w:i/>
          <w:sz w:val="28"/>
          <w:szCs w:val="28"/>
        </w:rPr>
        <w:t>Продолжение таблицы 3.4.2.1</w:t>
      </w:r>
    </w:p>
    <w:tbl>
      <w:tblPr>
        <w:tblStyle w:val="a3"/>
        <w:tblW w:w="0" w:type="auto"/>
        <w:tblLook w:val="04A0" w:firstRow="1" w:lastRow="0" w:firstColumn="1" w:lastColumn="0" w:noHBand="0" w:noVBand="1"/>
      </w:tblPr>
      <w:tblGrid>
        <w:gridCol w:w="675"/>
        <w:gridCol w:w="2268"/>
        <w:gridCol w:w="1701"/>
        <w:gridCol w:w="1701"/>
        <w:gridCol w:w="1866"/>
        <w:gridCol w:w="1536"/>
      </w:tblGrid>
      <w:tr w:rsidR="000A294B" w:rsidRPr="000D1F9B" w:rsidTr="00EB2490">
        <w:tc>
          <w:tcPr>
            <w:tcW w:w="675" w:type="dxa"/>
            <w:vAlign w:val="center"/>
          </w:tcPr>
          <w:p w:rsidR="000A294B" w:rsidRPr="008A2F75" w:rsidRDefault="000A294B" w:rsidP="00EB2490">
            <w:pPr>
              <w:ind w:right="111"/>
              <w:jc w:val="both"/>
              <w:rPr>
                <w:rFonts w:ascii="Times New Roman" w:hAnsi="Times New Roman"/>
                <w:sz w:val="24"/>
                <w:szCs w:val="24"/>
              </w:rPr>
            </w:pPr>
            <w:r w:rsidRPr="008A2F75">
              <w:rPr>
                <w:rFonts w:ascii="Times New Roman" w:hAnsi="Times New Roman"/>
                <w:sz w:val="24"/>
                <w:szCs w:val="24"/>
              </w:rPr>
              <w:t>4</w:t>
            </w:r>
          </w:p>
        </w:tc>
        <w:tc>
          <w:tcPr>
            <w:tcW w:w="2268"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Альбумин (г/л)</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45.6±2.173</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42.7±1.684</w:t>
            </w:r>
          </w:p>
        </w:tc>
        <w:tc>
          <w:tcPr>
            <w:tcW w:w="1866"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48.2±2.183</w:t>
            </w:r>
          </w:p>
        </w:tc>
        <w:tc>
          <w:tcPr>
            <w:tcW w:w="1536" w:type="dxa"/>
            <w:vAlign w:val="center"/>
          </w:tcPr>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p(a\b)˂0.05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p(b\c)˂0.05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lastRenderedPageBreak/>
              <w:t>p(a\c)˂0.05</w:t>
            </w:r>
          </w:p>
        </w:tc>
      </w:tr>
      <w:tr w:rsidR="000A294B" w:rsidRPr="000D1F9B" w:rsidTr="00EB2490">
        <w:tc>
          <w:tcPr>
            <w:tcW w:w="675" w:type="dxa"/>
            <w:vAlign w:val="center"/>
          </w:tcPr>
          <w:p w:rsidR="000A294B" w:rsidRPr="008A2F75" w:rsidRDefault="000A294B" w:rsidP="00EB2490">
            <w:pPr>
              <w:ind w:right="111"/>
              <w:jc w:val="both"/>
              <w:rPr>
                <w:rFonts w:ascii="Times New Roman" w:hAnsi="Times New Roman"/>
                <w:sz w:val="24"/>
                <w:szCs w:val="24"/>
              </w:rPr>
            </w:pPr>
            <w:r w:rsidRPr="008A2F75">
              <w:rPr>
                <w:rFonts w:ascii="Times New Roman" w:hAnsi="Times New Roman"/>
                <w:sz w:val="24"/>
                <w:szCs w:val="24"/>
              </w:rPr>
              <w:lastRenderedPageBreak/>
              <w:t>5</w:t>
            </w:r>
          </w:p>
        </w:tc>
        <w:tc>
          <w:tcPr>
            <w:tcW w:w="2268"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Креатинин (ммоль/л)</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75.7±2.134</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70.1±1.786</w:t>
            </w:r>
          </w:p>
        </w:tc>
        <w:tc>
          <w:tcPr>
            <w:tcW w:w="1866"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82.9±1.571</w:t>
            </w:r>
          </w:p>
        </w:tc>
        <w:tc>
          <w:tcPr>
            <w:tcW w:w="1536" w:type="dxa"/>
            <w:vAlign w:val="center"/>
          </w:tcPr>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p(a\b)˂0.05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p(b\c)˂0.05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p(a\c)˂0.05</w:t>
            </w:r>
          </w:p>
        </w:tc>
      </w:tr>
      <w:tr w:rsidR="000A294B" w:rsidRPr="000D1F9B" w:rsidTr="00EB2490">
        <w:tc>
          <w:tcPr>
            <w:tcW w:w="675" w:type="dxa"/>
            <w:vAlign w:val="center"/>
          </w:tcPr>
          <w:p w:rsidR="000A294B" w:rsidRPr="008A2F75" w:rsidRDefault="000A294B" w:rsidP="00EB2490">
            <w:pPr>
              <w:ind w:right="111"/>
              <w:jc w:val="both"/>
              <w:rPr>
                <w:rFonts w:ascii="Times New Roman" w:hAnsi="Times New Roman"/>
                <w:sz w:val="24"/>
                <w:szCs w:val="24"/>
              </w:rPr>
            </w:pPr>
            <w:r w:rsidRPr="008A2F75">
              <w:rPr>
                <w:rFonts w:ascii="Times New Roman" w:hAnsi="Times New Roman"/>
                <w:sz w:val="24"/>
                <w:szCs w:val="24"/>
              </w:rPr>
              <w:t>6</w:t>
            </w:r>
          </w:p>
        </w:tc>
        <w:tc>
          <w:tcPr>
            <w:tcW w:w="2268"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Мочевина (мкмоль/л)</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3.81±0.127</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5.17±0.337</w:t>
            </w:r>
          </w:p>
        </w:tc>
        <w:tc>
          <w:tcPr>
            <w:tcW w:w="1866"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6.84±0.492</w:t>
            </w:r>
          </w:p>
        </w:tc>
        <w:tc>
          <w:tcPr>
            <w:tcW w:w="1536" w:type="dxa"/>
            <w:vAlign w:val="center"/>
          </w:tcPr>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p(a\b)˂0.05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p(b\c)˂0.05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p(a\c)˂0.05</w:t>
            </w:r>
          </w:p>
        </w:tc>
      </w:tr>
      <w:tr w:rsidR="000A294B" w:rsidRPr="000D1F9B" w:rsidTr="00EB2490">
        <w:tc>
          <w:tcPr>
            <w:tcW w:w="675" w:type="dxa"/>
            <w:vAlign w:val="center"/>
          </w:tcPr>
          <w:p w:rsidR="000A294B" w:rsidRPr="008A2F75" w:rsidRDefault="000A294B" w:rsidP="00EB2490">
            <w:pPr>
              <w:ind w:right="111"/>
              <w:jc w:val="both"/>
              <w:rPr>
                <w:rFonts w:ascii="Times New Roman" w:hAnsi="Times New Roman"/>
                <w:sz w:val="24"/>
                <w:szCs w:val="24"/>
              </w:rPr>
            </w:pPr>
            <w:r w:rsidRPr="008A2F75">
              <w:rPr>
                <w:rFonts w:ascii="Times New Roman" w:hAnsi="Times New Roman"/>
                <w:sz w:val="24"/>
                <w:szCs w:val="24"/>
              </w:rPr>
              <w:t>7</w:t>
            </w:r>
          </w:p>
        </w:tc>
        <w:tc>
          <w:tcPr>
            <w:tcW w:w="2268"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Фибриноген (г/л)</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3.27±0.251</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3.97±0.172</w:t>
            </w:r>
          </w:p>
        </w:tc>
        <w:tc>
          <w:tcPr>
            <w:tcW w:w="1866"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4.18±0.207</w:t>
            </w:r>
          </w:p>
        </w:tc>
        <w:tc>
          <w:tcPr>
            <w:tcW w:w="1536" w:type="dxa"/>
            <w:vAlign w:val="center"/>
          </w:tcPr>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p(a\b)˂0.05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p(b\c)˂0.05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p(a\c)˂0.05</w:t>
            </w:r>
          </w:p>
        </w:tc>
      </w:tr>
      <w:tr w:rsidR="000A294B" w:rsidRPr="000D1F9B" w:rsidTr="00EB2490">
        <w:tc>
          <w:tcPr>
            <w:tcW w:w="675" w:type="dxa"/>
            <w:vAlign w:val="center"/>
          </w:tcPr>
          <w:p w:rsidR="000A294B" w:rsidRPr="008A2F75" w:rsidRDefault="000A294B" w:rsidP="00EB2490">
            <w:pPr>
              <w:ind w:right="111"/>
              <w:jc w:val="both"/>
              <w:rPr>
                <w:rFonts w:ascii="Times New Roman" w:hAnsi="Times New Roman"/>
                <w:sz w:val="24"/>
                <w:szCs w:val="24"/>
              </w:rPr>
            </w:pPr>
            <w:r w:rsidRPr="008A2F75">
              <w:rPr>
                <w:rFonts w:ascii="Times New Roman" w:hAnsi="Times New Roman"/>
                <w:sz w:val="24"/>
                <w:szCs w:val="24"/>
              </w:rPr>
              <w:t>8</w:t>
            </w:r>
          </w:p>
        </w:tc>
        <w:tc>
          <w:tcPr>
            <w:tcW w:w="2268"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АСТ (ЕД)</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29.7±0.778</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35.1±0.821</w:t>
            </w:r>
          </w:p>
        </w:tc>
        <w:tc>
          <w:tcPr>
            <w:tcW w:w="1866"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37.3±0.923</w:t>
            </w:r>
          </w:p>
        </w:tc>
        <w:tc>
          <w:tcPr>
            <w:tcW w:w="1536" w:type="dxa"/>
            <w:vAlign w:val="center"/>
          </w:tcPr>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p(a\b)˂0.05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p(b\c)˂0.05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p(a\c)˂0.05</w:t>
            </w:r>
          </w:p>
        </w:tc>
      </w:tr>
      <w:tr w:rsidR="000A294B" w:rsidRPr="000D1F9B" w:rsidTr="00EB2490">
        <w:tc>
          <w:tcPr>
            <w:tcW w:w="675" w:type="dxa"/>
            <w:vAlign w:val="center"/>
          </w:tcPr>
          <w:p w:rsidR="000A294B" w:rsidRPr="008A2F75" w:rsidRDefault="000A294B" w:rsidP="00EB2490">
            <w:pPr>
              <w:ind w:right="111"/>
              <w:jc w:val="both"/>
              <w:rPr>
                <w:rFonts w:ascii="Times New Roman" w:hAnsi="Times New Roman"/>
                <w:sz w:val="24"/>
                <w:szCs w:val="24"/>
              </w:rPr>
            </w:pPr>
            <w:r w:rsidRPr="008A2F75">
              <w:rPr>
                <w:rFonts w:ascii="Times New Roman" w:hAnsi="Times New Roman"/>
                <w:sz w:val="24"/>
                <w:szCs w:val="24"/>
              </w:rPr>
              <w:t>9</w:t>
            </w:r>
          </w:p>
        </w:tc>
        <w:tc>
          <w:tcPr>
            <w:tcW w:w="2268"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АЛТ (ЕД)</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31.4±0.419</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28.6±0.382</w:t>
            </w:r>
          </w:p>
        </w:tc>
        <w:tc>
          <w:tcPr>
            <w:tcW w:w="1866"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29.2±0.221</w:t>
            </w:r>
          </w:p>
        </w:tc>
        <w:tc>
          <w:tcPr>
            <w:tcW w:w="1536" w:type="dxa"/>
            <w:vAlign w:val="center"/>
          </w:tcPr>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p(a\b)˂0.05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p(b\c)˂0.05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p(a\c)˂0.05</w:t>
            </w:r>
          </w:p>
        </w:tc>
      </w:tr>
      <w:tr w:rsidR="000A294B" w:rsidTr="00EB2490">
        <w:tc>
          <w:tcPr>
            <w:tcW w:w="675" w:type="dxa"/>
            <w:vAlign w:val="center"/>
          </w:tcPr>
          <w:p w:rsidR="000A294B" w:rsidRPr="008A2F75" w:rsidRDefault="000A294B" w:rsidP="00EB2490">
            <w:pPr>
              <w:ind w:right="111"/>
              <w:jc w:val="both"/>
              <w:rPr>
                <w:rFonts w:ascii="Times New Roman" w:hAnsi="Times New Roman"/>
                <w:sz w:val="24"/>
                <w:szCs w:val="24"/>
              </w:rPr>
            </w:pPr>
            <w:r w:rsidRPr="008A2F75">
              <w:rPr>
                <w:rFonts w:ascii="Times New Roman" w:hAnsi="Times New Roman"/>
                <w:sz w:val="24"/>
                <w:szCs w:val="24"/>
              </w:rPr>
              <w:t>10</w:t>
            </w:r>
          </w:p>
        </w:tc>
        <w:tc>
          <w:tcPr>
            <w:tcW w:w="2268"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Холестерин (ммоль/л)</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4.91±0.406</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4.78±0.361</w:t>
            </w:r>
          </w:p>
        </w:tc>
        <w:tc>
          <w:tcPr>
            <w:tcW w:w="1866"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5.07±0.512</w:t>
            </w:r>
          </w:p>
        </w:tc>
        <w:tc>
          <w:tcPr>
            <w:tcW w:w="1536" w:type="dxa"/>
            <w:vAlign w:val="center"/>
          </w:tcPr>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p(a\b)-0.4</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p(b\c)</w:t>
            </w:r>
            <w:r w:rsidRPr="008A2F75">
              <w:rPr>
                <w:rFonts w:ascii="Times New Roman" w:hAnsi="Times New Roman"/>
                <w:sz w:val="24"/>
                <w:szCs w:val="24"/>
              </w:rPr>
              <w:t>-</w:t>
            </w:r>
            <w:r w:rsidRPr="008A2F75">
              <w:rPr>
                <w:rFonts w:ascii="Times New Roman" w:hAnsi="Times New Roman"/>
                <w:sz w:val="24"/>
                <w:szCs w:val="24"/>
                <w:lang w:val="en-US"/>
              </w:rPr>
              <w:t>0.06</w:t>
            </w:r>
          </w:p>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lang w:val="en-US"/>
              </w:rPr>
              <w:t>p(a\c)</w:t>
            </w:r>
            <w:r w:rsidRPr="008A2F75">
              <w:rPr>
                <w:rFonts w:ascii="Times New Roman" w:hAnsi="Times New Roman"/>
                <w:sz w:val="24"/>
                <w:szCs w:val="24"/>
              </w:rPr>
              <w:t>-</w:t>
            </w:r>
            <w:r w:rsidRPr="008A2F75">
              <w:rPr>
                <w:rFonts w:ascii="Times New Roman" w:hAnsi="Times New Roman"/>
                <w:sz w:val="24"/>
                <w:szCs w:val="24"/>
                <w:lang w:val="en-US"/>
              </w:rPr>
              <w:t>0.</w:t>
            </w:r>
            <w:r w:rsidRPr="008A2F75">
              <w:rPr>
                <w:rFonts w:ascii="Times New Roman" w:hAnsi="Times New Roman"/>
                <w:sz w:val="24"/>
                <w:szCs w:val="24"/>
              </w:rPr>
              <w:t>3</w:t>
            </w:r>
          </w:p>
        </w:tc>
      </w:tr>
      <w:tr w:rsidR="000A294B" w:rsidRPr="000D1F9B" w:rsidTr="00EB2490">
        <w:tc>
          <w:tcPr>
            <w:tcW w:w="675" w:type="dxa"/>
            <w:vAlign w:val="center"/>
          </w:tcPr>
          <w:p w:rsidR="000A294B" w:rsidRPr="008A2F75" w:rsidRDefault="000A294B" w:rsidP="00EB2490">
            <w:pPr>
              <w:ind w:right="111"/>
              <w:jc w:val="both"/>
              <w:rPr>
                <w:rFonts w:ascii="Times New Roman" w:hAnsi="Times New Roman"/>
                <w:sz w:val="24"/>
                <w:szCs w:val="24"/>
              </w:rPr>
            </w:pPr>
            <w:r w:rsidRPr="008A2F75">
              <w:rPr>
                <w:rFonts w:ascii="Times New Roman" w:hAnsi="Times New Roman"/>
                <w:sz w:val="24"/>
                <w:szCs w:val="24"/>
              </w:rPr>
              <w:t>11</w:t>
            </w:r>
          </w:p>
        </w:tc>
        <w:tc>
          <w:tcPr>
            <w:tcW w:w="2268"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ЛПНП (ммоль/л)</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2.84±0.235</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2.78±0.257</w:t>
            </w:r>
          </w:p>
        </w:tc>
        <w:tc>
          <w:tcPr>
            <w:tcW w:w="1866"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3.49±0.313</w:t>
            </w:r>
          </w:p>
        </w:tc>
        <w:tc>
          <w:tcPr>
            <w:tcW w:w="1536" w:type="dxa"/>
            <w:vAlign w:val="center"/>
          </w:tcPr>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p(a\b)˂0.05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p(b\c)˂0.05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p(a\c)˂0.05</w:t>
            </w:r>
          </w:p>
        </w:tc>
      </w:tr>
      <w:tr w:rsidR="000A294B" w:rsidRPr="000D1F9B" w:rsidTr="00EB2490">
        <w:tc>
          <w:tcPr>
            <w:tcW w:w="675" w:type="dxa"/>
            <w:vAlign w:val="center"/>
          </w:tcPr>
          <w:p w:rsidR="000A294B" w:rsidRPr="008A2F75" w:rsidRDefault="000A294B" w:rsidP="00EB2490">
            <w:pPr>
              <w:ind w:right="111"/>
              <w:jc w:val="both"/>
              <w:rPr>
                <w:rFonts w:ascii="Times New Roman" w:hAnsi="Times New Roman"/>
                <w:sz w:val="24"/>
                <w:szCs w:val="24"/>
              </w:rPr>
            </w:pPr>
            <w:r w:rsidRPr="008A2F75">
              <w:rPr>
                <w:rFonts w:ascii="Times New Roman" w:hAnsi="Times New Roman"/>
                <w:sz w:val="24"/>
                <w:szCs w:val="24"/>
              </w:rPr>
              <w:t>12</w:t>
            </w:r>
          </w:p>
        </w:tc>
        <w:tc>
          <w:tcPr>
            <w:tcW w:w="2268"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ЛПВП (ммоль/л)</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1.97±0.283</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2.08±0.456</w:t>
            </w:r>
          </w:p>
        </w:tc>
        <w:tc>
          <w:tcPr>
            <w:tcW w:w="1866"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1.74±0.293</w:t>
            </w:r>
          </w:p>
        </w:tc>
        <w:tc>
          <w:tcPr>
            <w:tcW w:w="1536" w:type="dxa"/>
            <w:vAlign w:val="center"/>
          </w:tcPr>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p(a\b)˂0.05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p(b\c)˂0.05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p(a\c)˂0.05</w:t>
            </w:r>
          </w:p>
        </w:tc>
      </w:tr>
      <w:tr w:rsidR="000A294B" w:rsidRPr="000D1F9B" w:rsidTr="00EB2490">
        <w:tc>
          <w:tcPr>
            <w:tcW w:w="675" w:type="dxa"/>
            <w:vAlign w:val="center"/>
          </w:tcPr>
          <w:p w:rsidR="000A294B" w:rsidRPr="008A2F75" w:rsidRDefault="000A294B" w:rsidP="00EB2490">
            <w:pPr>
              <w:ind w:right="111"/>
              <w:jc w:val="both"/>
              <w:rPr>
                <w:rFonts w:ascii="Times New Roman" w:hAnsi="Times New Roman"/>
                <w:sz w:val="24"/>
                <w:szCs w:val="24"/>
              </w:rPr>
            </w:pPr>
            <w:r w:rsidRPr="008A2F75">
              <w:rPr>
                <w:rFonts w:ascii="Times New Roman" w:hAnsi="Times New Roman"/>
                <w:sz w:val="24"/>
                <w:szCs w:val="24"/>
              </w:rPr>
              <w:t>13</w:t>
            </w:r>
          </w:p>
        </w:tc>
        <w:tc>
          <w:tcPr>
            <w:tcW w:w="2268"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Триглицериды (ммоль/л)</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1.74±0.215</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1.81±0. 231</w:t>
            </w:r>
          </w:p>
        </w:tc>
        <w:tc>
          <w:tcPr>
            <w:tcW w:w="1866"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2.19±0.377</w:t>
            </w:r>
          </w:p>
        </w:tc>
        <w:tc>
          <w:tcPr>
            <w:tcW w:w="1536" w:type="dxa"/>
            <w:vAlign w:val="center"/>
          </w:tcPr>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p(a\b)˂0.05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p(b\c)˂0.05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p(a\c)˂0.05</w:t>
            </w:r>
          </w:p>
        </w:tc>
      </w:tr>
      <w:tr w:rsidR="000A294B" w:rsidRPr="000D1F9B" w:rsidTr="00EB2490">
        <w:tc>
          <w:tcPr>
            <w:tcW w:w="675" w:type="dxa"/>
            <w:vAlign w:val="center"/>
          </w:tcPr>
          <w:p w:rsidR="000A294B" w:rsidRPr="008A2F75" w:rsidRDefault="000A294B" w:rsidP="00EB2490">
            <w:pPr>
              <w:ind w:right="111"/>
              <w:jc w:val="both"/>
              <w:rPr>
                <w:rFonts w:ascii="Times New Roman" w:hAnsi="Times New Roman"/>
                <w:sz w:val="24"/>
                <w:szCs w:val="24"/>
              </w:rPr>
            </w:pPr>
            <w:r w:rsidRPr="008A2F75">
              <w:rPr>
                <w:rFonts w:ascii="Times New Roman" w:hAnsi="Times New Roman"/>
                <w:sz w:val="24"/>
                <w:szCs w:val="24"/>
              </w:rPr>
              <w:t>14</w:t>
            </w:r>
          </w:p>
        </w:tc>
        <w:tc>
          <w:tcPr>
            <w:tcW w:w="2268"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Коэффициент атерогенности (ед)</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1.49±0.1136</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1.29±0.1099</w:t>
            </w:r>
          </w:p>
        </w:tc>
        <w:tc>
          <w:tcPr>
            <w:tcW w:w="1866"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1.91±0.0272</w:t>
            </w:r>
          </w:p>
        </w:tc>
        <w:tc>
          <w:tcPr>
            <w:tcW w:w="1536" w:type="dxa"/>
            <w:vAlign w:val="center"/>
          </w:tcPr>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p(a\b)-0.12</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p(b\c)˂0.05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p(a\c)-0.01</w:t>
            </w:r>
          </w:p>
        </w:tc>
      </w:tr>
      <w:tr w:rsidR="000A294B" w:rsidRPr="000D1F9B" w:rsidTr="00EB2490">
        <w:tc>
          <w:tcPr>
            <w:tcW w:w="675" w:type="dxa"/>
            <w:vAlign w:val="center"/>
          </w:tcPr>
          <w:p w:rsidR="000A294B" w:rsidRPr="008A2F75" w:rsidRDefault="000A294B" w:rsidP="00EB2490">
            <w:pPr>
              <w:ind w:right="111"/>
              <w:jc w:val="both"/>
              <w:rPr>
                <w:rFonts w:ascii="Times New Roman" w:hAnsi="Times New Roman"/>
                <w:sz w:val="24"/>
                <w:szCs w:val="24"/>
              </w:rPr>
            </w:pPr>
            <w:r w:rsidRPr="008A2F75">
              <w:rPr>
                <w:rFonts w:ascii="Times New Roman" w:hAnsi="Times New Roman"/>
                <w:sz w:val="24"/>
                <w:szCs w:val="24"/>
              </w:rPr>
              <w:t>15</w:t>
            </w:r>
          </w:p>
        </w:tc>
        <w:tc>
          <w:tcPr>
            <w:tcW w:w="2268"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С-Реактивный белок (г/л)</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4.87±0. 178</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4.91±0. 195</w:t>
            </w:r>
          </w:p>
        </w:tc>
        <w:tc>
          <w:tcPr>
            <w:tcW w:w="1866"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5.34±0. 118</w:t>
            </w:r>
          </w:p>
        </w:tc>
        <w:tc>
          <w:tcPr>
            <w:tcW w:w="1536" w:type="dxa"/>
            <w:vAlign w:val="center"/>
          </w:tcPr>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p(a\b)-0.13</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p(b\c)˂0.05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p(a\c)˂0.05</w:t>
            </w:r>
          </w:p>
        </w:tc>
      </w:tr>
      <w:tr w:rsidR="000A294B" w:rsidRPr="000D1F9B" w:rsidTr="00EB2490">
        <w:tc>
          <w:tcPr>
            <w:tcW w:w="675" w:type="dxa"/>
            <w:vAlign w:val="center"/>
          </w:tcPr>
          <w:p w:rsidR="000A294B" w:rsidRPr="008A2F75" w:rsidRDefault="000A294B" w:rsidP="00EB2490">
            <w:pPr>
              <w:ind w:right="111"/>
              <w:jc w:val="both"/>
              <w:rPr>
                <w:rFonts w:ascii="Times New Roman" w:hAnsi="Times New Roman"/>
                <w:sz w:val="24"/>
                <w:szCs w:val="24"/>
              </w:rPr>
            </w:pPr>
            <w:r w:rsidRPr="008A2F75">
              <w:rPr>
                <w:rFonts w:ascii="Times New Roman" w:hAnsi="Times New Roman"/>
                <w:sz w:val="24"/>
                <w:szCs w:val="24"/>
              </w:rPr>
              <w:t>16</w:t>
            </w:r>
          </w:p>
        </w:tc>
        <w:tc>
          <w:tcPr>
            <w:tcW w:w="2268"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Калий (ммоль/л)</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4.59±0.331</w:t>
            </w:r>
          </w:p>
        </w:tc>
        <w:tc>
          <w:tcPr>
            <w:tcW w:w="1701"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4.41±0.229</w:t>
            </w:r>
          </w:p>
        </w:tc>
        <w:tc>
          <w:tcPr>
            <w:tcW w:w="1866" w:type="dxa"/>
            <w:vAlign w:val="center"/>
          </w:tcPr>
          <w:p w:rsidR="000A294B" w:rsidRPr="008A2F75" w:rsidRDefault="000A294B" w:rsidP="00EB2490">
            <w:pPr>
              <w:ind w:right="111"/>
              <w:jc w:val="center"/>
              <w:rPr>
                <w:rFonts w:ascii="Times New Roman" w:hAnsi="Times New Roman"/>
                <w:sz w:val="24"/>
                <w:szCs w:val="24"/>
              </w:rPr>
            </w:pPr>
            <w:r w:rsidRPr="008A2F75">
              <w:rPr>
                <w:rFonts w:ascii="Times New Roman" w:hAnsi="Times New Roman"/>
                <w:sz w:val="24"/>
                <w:szCs w:val="24"/>
              </w:rPr>
              <w:t>4.37±0. 136</w:t>
            </w:r>
          </w:p>
        </w:tc>
        <w:tc>
          <w:tcPr>
            <w:tcW w:w="1536" w:type="dxa"/>
            <w:vAlign w:val="center"/>
          </w:tcPr>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p(a\b)-0.03</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p(b\c)˂0.05</w:t>
            </w:r>
          </w:p>
          <w:p w:rsidR="000A294B" w:rsidRPr="008A2F75" w:rsidRDefault="000A294B" w:rsidP="00EB2490">
            <w:pPr>
              <w:ind w:right="111"/>
              <w:jc w:val="center"/>
              <w:rPr>
                <w:rFonts w:ascii="Times New Roman" w:hAnsi="Times New Roman"/>
                <w:sz w:val="24"/>
                <w:szCs w:val="24"/>
                <w:lang w:val="en-US"/>
              </w:rPr>
            </w:pPr>
            <w:r w:rsidRPr="008A2F75">
              <w:rPr>
                <w:rFonts w:ascii="Times New Roman" w:hAnsi="Times New Roman"/>
                <w:sz w:val="24"/>
                <w:szCs w:val="24"/>
                <w:lang w:val="en-US"/>
              </w:rPr>
              <w:t>p(a\c)˂0.05</w:t>
            </w:r>
          </w:p>
        </w:tc>
      </w:tr>
      <w:tr w:rsidR="000A294B" w:rsidRPr="000D1F9B" w:rsidTr="00EB2490">
        <w:tc>
          <w:tcPr>
            <w:tcW w:w="675" w:type="dxa"/>
            <w:vAlign w:val="center"/>
          </w:tcPr>
          <w:p w:rsidR="000A294B" w:rsidRPr="008A2F75" w:rsidRDefault="000A294B" w:rsidP="00EB2490">
            <w:pPr>
              <w:jc w:val="both"/>
              <w:rPr>
                <w:rFonts w:ascii="Times New Roman" w:hAnsi="Times New Roman"/>
                <w:sz w:val="24"/>
                <w:szCs w:val="24"/>
              </w:rPr>
            </w:pPr>
            <w:r w:rsidRPr="008A2F75">
              <w:rPr>
                <w:rFonts w:ascii="Times New Roman" w:hAnsi="Times New Roman"/>
                <w:sz w:val="24"/>
                <w:szCs w:val="24"/>
              </w:rPr>
              <w:t>17</w:t>
            </w:r>
          </w:p>
        </w:tc>
        <w:tc>
          <w:tcPr>
            <w:tcW w:w="2268" w:type="dxa"/>
            <w:vAlign w:val="center"/>
          </w:tcPr>
          <w:p w:rsidR="000A294B" w:rsidRPr="008A2F75" w:rsidRDefault="000A294B" w:rsidP="00EB2490">
            <w:pPr>
              <w:jc w:val="center"/>
              <w:rPr>
                <w:rFonts w:ascii="Times New Roman" w:hAnsi="Times New Roman"/>
                <w:sz w:val="24"/>
                <w:szCs w:val="24"/>
              </w:rPr>
            </w:pPr>
            <w:r w:rsidRPr="008A2F75">
              <w:rPr>
                <w:rFonts w:ascii="Times New Roman" w:hAnsi="Times New Roman"/>
                <w:sz w:val="24"/>
                <w:szCs w:val="24"/>
              </w:rPr>
              <w:t>Натрий (ммоль/л)</w:t>
            </w:r>
          </w:p>
        </w:tc>
        <w:tc>
          <w:tcPr>
            <w:tcW w:w="1701" w:type="dxa"/>
            <w:vAlign w:val="center"/>
          </w:tcPr>
          <w:p w:rsidR="000A294B" w:rsidRPr="008A2F75" w:rsidRDefault="000A294B" w:rsidP="00EB2490">
            <w:pPr>
              <w:jc w:val="center"/>
              <w:rPr>
                <w:rFonts w:ascii="Times New Roman" w:hAnsi="Times New Roman"/>
                <w:sz w:val="24"/>
                <w:szCs w:val="24"/>
              </w:rPr>
            </w:pPr>
            <w:r w:rsidRPr="008A2F75">
              <w:rPr>
                <w:rFonts w:ascii="Times New Roman" w:hAnsi="Times New Roman"/>
                <w:sz w:val="24"/>
                <w:szCs w:val="24"/>
              </w:rPr>
              <w:t>128.9±2.116</w:t>
            </w:r>
          </w:p>
        </w:tc>
        <w:tc>
          <w:tcPr>
            <w:tcW w:w="1701" w:type="dxa"/>
            <w:vAlign w:val="center"/>
          </w:tcPr>
          <w:p w:rsidR="000A294B" w:rsidRPr="008A2F75" w:rsidRDefault="000A294B" w:rsidP="00EB2490">
            <w:pPr>
              <w:jc w:val="center"/>
              <w:rPr>
                <w:rFonts w:ascii="Times New Roman" w:hAnsi="Times New Roman"/>
                <w:sz w:val="24"/>
                <w:szCs w:val="24"/>
              </w:rPr>
            </w:pPr>
            <w:r w:rsidRPr="008A2F75">
              <w:rPr>
                <w:rFonts w:ascii="Times New Roman" w:hAnsi="Times New Roman"/>
                <w:sz w:val="24"/>
                <w:szCs w:val="24"/>
              </w:rPr>
              <w:t>135.4±2.238</w:t>
            </w:r>
          </w:p>
        </w:tc>
        <w:tc>
          <w:tcPr>
            <w:tcW w:w="1866" w:type="dxa"/>
            <w:vAlign w:val="center"/>
          </w:tcPr>
          <w:p w:rsidR="000A294B" w:rsidRPr="008A2F75" w:rsidRDefault="000A294B" w:rsidP="00EB2490">
            <w:pPr>
              <w:jc w:val="center"/>
              <w:rPr>
                <w:rFonts w:ascii="Times New Roman" w:hAnsi="Times New Roman"/>
                <w:sz w:val="24"/>
                <w:szCs w:val="24"/>
              </w:rPr>
            </w:pPr>
            <w:r w:rsidRPr="008A2F75">
              <w:rPr>
                <w:rFonts w:ascii="Times New Roman" w:hAnsi="Times New Roman"/>
                <w:sz w:val="24"/>
                <w:szCs w:val="24"/>
              </w:rPr>
              <w:t>132.7±1.432</w:t>
            </w:r>
          </w:p>
        </w:tc>
        <w:tc>
          <w:tcPr>
            <w:tcW w:w="1536" w:type="dxa"/>
            <w:vAlign w:val="center"/>
          </w:tcPr>
          <w:p w:rsidR="000A294B" w:rsidRPr="008A2F75" w:rsidRDefault="000A294B" w:rsidP="00EB2490">
            <w:pPr>
              <w:jc w:val="center"/>
              <w:rPr>
                <w:rFonts w:ascii="Times New Roman" w:hAnsi="Times New Roman"/>
                <w:sz w:val="24"/>
                <w:szCs w:val="24"/>
                <w:lang w:val="en-US"/>
              </w:rPr>
            </w:pPr>
            <w:r w:rsidRPr="008A2F75">
              <w:rPr>
                <w:rFonts w:ascii="Times New Roman" w:hAnsi="Times New Roman"/>
                <w:sz w:val="24"/>
                <w:szCs w:val="24"/>
                <w:lang w:val="en-US"/>
              </w:rPr>
              <w:t>p(a\b)˂0.05</w:t>
            </w:r>
          </w:p>
          <w:p w:rsidR="000A294B" w:rsidRPr="008A2F75" w:rsidRDefault="000A294B" w:rsidP="00EB2490">
            <w:pPr>
              <w:jc w:val="center"/>
              <w:rPr>
                <w:rFonts w:ascii="Times New Roman" w:hAnsi="Times New Roman"/>
                <w:sz w:val="24"/>
                <w:szCs w:val="24"/>
                <w:lang w:val="en-US"/>
              </w:rPr>
            </w:pPr>
            <w:r w:rsidRPr="008A2F75">
              <w:rPr>
                <w:rFonts w:ascii="Times New Roman" w:hAnsi="Times New Roman"/>
                <w:sz w:val="24"/>
                <w:szCs w:val="24"/>
                <w:lang w:val="en-US"/>
              </w:rPr>
              <w:t>p(b\c)˂0.05</w:t>
            </w:r>
          </w:p>
          <w:p w:rsidR="000A294B" w:rsidRPr="008A2F75" w:rsidRDefault="000A294B" w:rsidP="00EB2490">
            <w:pPr>
              <w:jc w:val="center"/>
              <w:rPr>
                <w:rFonts w:ascii="Times New Roman" w:hAnsi="Times New Roman"/>
                <w:sz w:val="24"/>
                <w:szCs w:val="24"/>
                <w:lang w:val="en-US"/>
              </w:rPr>
            </w:pPr>
            <w:r w:rsidRPr="008A2F75">
              <w:rPr>
                <w:rFonts w:ascii="Times New Roman" w:hAnsi="Times New Roman"/>
                <w:sz w:val="24"/>
                <w:szCs w:val="24"/>
                <w:lang w:val="en-US"/>
              </w:rPr>
              <w:t>p(a\c)˂0.05</w:t>
            </w:r>
          </w:p>
        </w:tc>
      </w:tr>
      <w:tr w:rsidR="000A294B" w:rsidRPr="000D1F9B" w:rsidTr="00EB2490">
        <w:tc>
          <w:tcPr>
            <w:tcW w:w="675" w:type="dxa"/>
            <w:vAlign w:val="center"/>
          </w:tcPr>
          <w:p w:rsidR="000A294B" w:rsidRPr="008A2F75" w:rsidRDefault="000A294B" w:rsidP="00EB2490">
            <w:pPr>
              <w:jc w:val="both"/>
              <w:rPr>
                <w:rFonts w:ascii="Times New Roman" w:hAnsi="Times New Roman"/>
                <w:sz w:val="24"/>
                <w:szCs w:val="24"/>
              </w:rPr>
            </w:pPr>
            <w:r w:rsidRPr="008A2F75">
              <w:rPr>
                <w:rFonts w:ascii="Times New Roman" w:hAnsi="Times New Roman"/>
                <w:sz w:val="24"/>
                <w:szCs w:val="24"/>
              </w:rPr>
              <w:t>18</w:t>
            </w:r>
          </w:p>
        </w:tc>
        <w:tc>
          <w:tcPr>
            <w:tcW w:w="2268" w:type="dxa"/>
            <w:vAlign w:val="center"/>
          </w:tcPr>
          <w:p w:rsidR="000A294B" w:rsidRPr="008A2F75" w:rsidRDefault="000A294B" w:rsidP="00EB2490">
            <w:pPr>
              <w:jc w:val="center"/>
              <w:rPr>
                <w:rFonts w:ascii="Times New Roman" w:hAnsi="Times New Roman"/>
                <w:sz w:val="24"/>
                <w:szCs w:val="24"/>
              </w:rPr>
            </w:pPr>
            <w:r w:rsidRPr="008A2F75">
              <w:rPr>
                <w:rFonts w:ascii="Times New Roman" w:hAnsi="Times New Roman"/>
                <w:sz w:val="24"/>
                <w:szCs w:val="24"/>
              </w:rPr>
              <w:t>Кальций (ммоль/л)</w:t>
            </w:r>
          </w:p>
        </w:tc>
        <w:tc>
          <w:tcPr>
            <w:tcW w:w="1701" w:type="dxa"/>
            <w:vAlign w:val="center"/>
          </w:tcPr>
          <w:p w:rsidR="000A294B" w:rsidRPr="008A2F75" w:rsidRDefault="000A294B" w:rsidP="00EB2490">
            <w:pPr>
              <w:jc w:val="center"/>
              <w:rPr>
                <w:rFonts w:ascii="Times New Roman" w:hAnsi="Times New Roman"/>
                <w:sz w:val="24"/>
                <w:szCs w:val="24"/>
              </w:rPr>
            </w:pPr>
            <w:r w:rsidRPr="008A2F75">
              <w:rPr>
                <w:rFonts w:ascii="Times New Roman" w:hAnsi="Times New Roman"/>
                <w:sz w:val="24"/>
                <w:szCs w:val="24"/>
              </w:rPr>
              <w:t>2.31±0.0184</w:t>
            </w:r>
          </w:p>
        </w:tc>
        <w:tc>
          <w:tcPr>
            <w:tcW w:w="1701" w:type="dxa"/>
            <w:vAlign w:val="center"/>
          </w:tcPr>
          <w:p w:rsidR="000A294B" w:rsidRPr="008A2F75" w:rsidRDefault="000A294B" w:rsidP="00EB2490">
            <w:pPr>
              <w:jc w:val="center"/>
              <w:rPr>
                <w:rFonts w:ascii="Times New Roman" w:hAnsi="Times New Roman"/>
                <w:sz w:val="24"/>
                <w:szCs w:val="24"/>
              </w:rPr>
            </w:pPr>
            <w:r w:rsidRPr="008A2F75">
              <w:rPr>
                <w:rFonts w:ascii="Times New Roman" w:hAnsi="Times New Roman"/>
                <w:sz w:val="24"/>
                <w:szCs w:val="24"/>
              </w:rPr>
              <w:t>2.35±0.0199</w:t>
            </w:r>
          </w:p>
        </w:tc>
        <w:tc>
          <w:tcPr>
            <w:tcW w:w="1866" w:type="dxa"/>
            <w:vAlign w:val="center"/>
          </w:tcPr>
          <w:p w:rsidR="000A294B" w:rsidRPr="008A2F75" w:rsidRDefault="000A294B" w:rsidP="00EB2490">
            <w:pPr>
              <w:jc w:val="center"/>
              <w:rPr>
                <w:rFonts w:ascii="Times New Roman" w:hAnsi="Times New Roman"/>
                <w:sz w:val="24"/>
                <w:szCs w:val="24"/>
              </w:rPr>
            </w:pPr>
            <w:r w:rsidRPr="008A2F75">
              <w:rPr>
                <w:rFonts w:ascii="Times New Roman" w:hAnsi="Times New Roman"/>
                <w:sz w:val="24"/>
                <w:szCs w:val="24"/>
              </w:rPr>
              <w:t>2.41±0.0132</w:t>
            </w:r>
          </w:p>
        </w:tc>
        <w:tc>
          <w:tcPr>
            <w:tcW w:w="1536" w:type="dxa"/>
            <w:vAlign w:val="center"/>
          </w:tcPr>
          <w:p w:rsidR="000A294B" w:rsidRPr="008A2F75" w:rsidRDefault="000A294B" w:rsidP="00EB2490">
            <w:pPr>
              <w:jc w:val="center"/>
              <w:rPr>
                <w:rFonts w:ascii="Times New Roman" w:hAnsi="Times New Roman"/>
                <w:sz w:val="24"/>
                <w:szCs w:val="24"/>
                <w:lang w:val="en-US"/>
              </w:rPr>
            </w:pPr>
            <w:r w:rsidRPr="008A2F75">
              <w:rPr>
                <w:rFonts w:ascii="Times New Roman" w:hAnsi="Times New Roman"/>
                <w:sz w:val="24"/>
                <w:szCs w:val="24"/>
                <w:lang w:val="en-US"/>
              </w:rPr>
              <w:t>p(a\b)-0.13</w:t>
            </w:r>
          </w:p>
          <w:p w:rsidR="000A294B" w:rsidRPr="008A2F75" w:rsidRDefault="000A294B" w:rsidP="00EB2490">
            <w:pPr>
              <w:jc w:val="center"/>
              <w:rPr>
                <w:rFonts w:ascii="Times New Roman" w:hAnsi="Times New Roman"/>
                <w:sz w:val="24"/>
                <w:szCs w:val="24"/>
                <w:lang w:val="en-US"/>
              </w:rPr>
            </w:pPr>
            <w:r w:rsidRPr="008A2F75">
              <w:rPr>
                <w:rFonts w:ascii="Times New Roman" w:hAnsi="Times New Roman"/>
                <w:sz w:val="24"/>
                <w:szCs w:val="24"/>
                <w:lang w:val="en-US"/>
              </w:rPr>
              <w:t>p(b\c)-0.01</w:t>
            </w:r>
          </w:p>
          <w:p w:rsidR="000A294B" w:rsidRPr="008A2F75" w:rsidRDefault="000A294B" w:rsidP="00EB2490">
            <w:pPr>
              <w:jc w:val="center"/>
              <w:rPr>
                <w:rFonts w:ascii="Times New Roman" w:hAnsi="Times New Roman"/>
                <w:sz w:val="24"/>
                <w:szCs w:val="24"/>
                <w:lang w:val="en-US"/>
              </w:rPr>
            </w:pPr>
            <w:r w:rsidRPr="008A2F75">
              <w:rPr>
                <w:rFonts w:ascii="Times New Roman" w:hAnsi="Times New Roman"/>
                <w:sz w:val="24"/>
                <w:szCs w:val="24"/>
                <w:lang w:val="en-US"/>
              </w:rPr>
              <w:t>p(a\c)˂0.05</w:t>
            </w:r>
          </w:p>
        </w:tc>
      </w:tr>
      <w:tr w:rsidR="000A294B" w:rsidRPr="000D1F9B" w:rsidTr="00EB2490">
        <w:tc>
          <w:tcPr>
            <w:tcW w:w="675" w:type="dxa"/>
            <w:vAlign w:val="center"/>
          </w:tcPr>
          <w:p w:rsidR="000A294B" w:rsidRPr="008A2F75" w:rsidRDefault="000A294B" w:rsidP="00EB2490">
            <w:pPr>
              <w:jc w:val="both"/>
              <w:rPr>
                <w:rFonts w:ascii="Times New Roman" w:hAnsi="Times New Roman"/>
                <w:sz w:val="24"/>
                <w:szCs w:val="24"/>
              </w:rPr>
            </w:pPr>
            <w:r w:rsidRPr="008A2F75">
              <w:rPr>
                <w:rFonts w:ascii="Times New Roman" w:hAnsi="Times New Roman"/>
                <w:sz w:val="24"/>
                <w:szCs w:val="24"/>
              </w:rPr>
              <w:t>19</w:t>
            </w:r>
          </w:p>
        </w:tc>
        <w:tc>
          <w:tcPr>
            <w:tcW w:w="2268" w:type="dxa"/>
            <w:vAlign w:val="center"/>
          </w:tcPr>
          <w:p w:rsidR="000A294B" w:rsidRPr="008A2F75" w:rsidRDefault="000A294B" w:rsidP="00EB2490">
            <w:pPr>
              <w:jc w:val="center"/>
              <w:rPr>
                <w:rFonts w:ascii="Times New Roman" w:hAnsi="Times New Roman"/>
                <w:sz w:val="24"/>
                <w:szCs w:val="24"/>
              </w:rPr>
            </w:pPr>
            <w:r w:rsidRPr="008A2F75">
              <w:rPr>
                <w:rFonts w:ascii="Times New Roman" w:hAnsi="Times New Roman"/>
                <w:sz w:val="24"/>
                <w:szCs w:val="24"/>
              </w:rPr>
              <w:t>Хлор (ммоль/л)</w:t>
            </w:r>
          </w:p>
        </w:tc>
        <w:tc>
          <w:tcPr>
            <w:tcW w:w="1701" w:type="dxa"/>
            <w:vAlign w:val="center"/>
          </w:tcPr>
          <w:p w:rsidR="000A294B" w:rsidRPr="008A2F75" w:rsidRDefault="000A294B" w:rsidP="00EB2490">
            <w:pPr>
              <w:jc w:val="center"/>
              <w:rPr>
                <w:rFonts w:ascii="Times New Roman" w:hAnsi="Times New Roman"/>
                <w:sz w:val="24"/>
                <w:szCs w:val="24"/>
              </w:rPr>
            </w:pPr>
            <w:r w:rsidRPr="008A2F75">
              <w:rPr>
                <w:rFonts w:ascii="Times New Roman" w:hAnsi="Times New Roman"/>
                <w:sz w:val="24"/>
                <w:szCs w:val="24"/>
              </w:rPr>
              <w:t>91.8±1.971</w:t>
            </w:r>
          </w:p>
        </w:tc>
        <w:tc>
          <w:tcPr>
            <w:tcW w:w="1701" w:type="dxa"/>
            <w:vAlign w:val="center"/>
          </w:tcPr>
          <w:p w:rsidR="000A294B" w:rsidRPr="008A2F75" w:rsidRDefault="000A294B" w:rsidP="00EB2490">
            <w:pPr>
              <w:jc w:val="center"/>
              <w:rPr>
                <w:rFonts w:ascii="Times New Roman" w:hAnsi="Times New Roman"/>
                <w:sz w:val="24"/>
                <w:szCs w:val="24"/>
              </w:rPr>
            </w:pPr>
            <w:r w:rsidRPr="008A2F75">
              <w:rPr>
                <w:rFonts w:ascii="Times New Roman" w:hAnsi="Times New Roman"/>
                <w:sz w:val="24"/>
                <w:szCs w:val="24"/>
              </w:rPr>
              <w:t>93.2±2.363</w:t>
            </w:r>
          </w:p>
        </w:tc>
        <w:tc>
          <w:tcPr>
            <w:tcW w:w="1866" w:type="dxa"/>
            <w:vAlign w:val="center"/>
          </w:tcPr>
          <w:p w:rsidR="000A294B" w:rsidRPr="008A2F75" w:rsidRDefault="000A294B" w:rsidP="00EB2490">
            <w:pPr>
              <w:jc w:val="center"/>
              <w:rPr>
                <w:rFonts w:ascii="Times New Roman" w:hAnsi="Times New Roman"/>
                <w:sz w:val="24"/>
                <w:szCs w:val="24"/>
              </w:rPr>
            </w:pPr>
            <w:r w:rsidRPr="008A2F75">
              <w:rPr>
                <w:rFonts w:ascii="Times New Roman" w:hAnsi="Times New Roman"/>
                <w:sz w:val="24"/>
                <w:szCs w:val="24"/>
              </w:rPr>
              <w:t>92.4±2.125</w:t>
            </w:r>
          </w:p>
        </w:tc>
        <w:tc>
          <w:tcPr>
            <w:tcW w:w="1536" w:type="dxa"/>
            <w:vAlign w:val="center"/>
          </w:tcPr>
          <w:p w:rsidR="000A294B" w:rsidRPr="008A2F75" w:rsidRDefault="000A294B" w:rsidP="00EB2490">
            <w:pPr>
              <w:jc w:val="center"/>
              <w:rPr>
                <w:rFonts w:ascii="Times New Roman" w:hAnsi="Times New Roman"/>
                <w:sz w:val="24"/>
                <w:szCs w:val="24"/>
                <w:lang w:val="en-US"/>
              </w:rPr>
            </w:pPr>
            <w:r w:rsidRPr="008A2F75">
              <w:rPr>
                <w:rFonts w:ascii="Times New Roman" w:hAnsi="Times New Roman"/>
                <w:sz w:val="24"/>
                <w:szCs w:val="24"/>
                <w:lang w:val="en-US"/>
              </w:rPr>
              <w:t>p(a\b)˂0.05</w:t>
            </w:r>
          </w:p>
          <w:p w:rsidR="000A294B" w:rsidRPr="008A2F75" w:rsidRDefault="000A294B" w:rsidP="00EB2490">
            <w:pPr>
              <w:jc w:val="center"/>
              <w:rPr>
                <w:rFonts w:ascii="Times New Roman" w:hAnsi="Times New Roman"/>
                <w:sz w:val="24"/>
                <w:szCs w:val="24"/>
                <w:lang w:val="en-US"/>
              </w:rPr>
            </w:pPr>
            <w:r w:rsidRPr="008A2F75">
              <w:rPr>
                <w:rFonts w:ascii="Times New Roman" w:hAnsi="Times New Roman"/>
                <w:sz w:val="24"/>
                <w:szCs w:val="24"/>
                <w:lang w:val="en-US"/>
              </w:rPr>
              <w:t>p(b\c)˂0.05</w:t>
            </w:r>
          </w:p>
          <w:p w:rsidR="000A294B" w:rsidRPr="008A2F75" w:rsidRDefault="000A294B" w:rsidP="00EB2490">
            <w:pPr>
              <w:jc w:val="center"/>
              <w:rPr>
                <w:rFonts w:ascii="Times New Roman" w:hAnsi="Times New Roman"/>
                <w:sz w:val="24"/>
                <w:szCs w:val="24"/>
                <w:lang w:val="en-US"/>
              </w:rPr>
            </w:pPr>
            <w:r w:rsidRPr="008A2F75">
              <w:rPr>
                <w:rFonts w:ascii="Times New Roman" w:hAnsi="Times New Roman"/>
                <w:sz w:val="24"/>
                <w:szCs w:val="24"/>
                <w:lang w:val="en-US"/>
              </w:rPr>
              <w:t>p(a\c)˂0.05</w:t>
            </w:r>
          </w:p>
        </w:tc>
      </w:tr>
    </w:tbl>
    <w:p w:rsidR="000A294B" w:rsidRPr="00BA5CCC" w:rsidRDefault="000A294B" w:rsidP="000A294B">
      <w:pPr>
        <w:spacing w:after="0" w:line="360" w:lineRule="auto"/>
        <w:ind w:firstLine="709"/>
        <w:jc w:val="both"/>
        <w:rPr>
          <w:rFonts w:ascii="Times New Roman" w:eastAsia="Calibri" w:hAnsi="Times New Roman" w:cs="Times New Roman"/>
          <w:sz w:val="28"/>
          <w:szCs w:val="28"/>
          <w:lang w:val="en-US"/>
        </w:rPr>
      </w:pPr>
    </w:p>
    <w:p w:rsidR="007732E8" w:rsidRDefault="007732E8" w:rsidP="000A294B">
      <w:pPr>
        <w:spacing w:after="0" w:line="360" w:lineRule="auto"/>
        <w:ind w:firstLine="567"/>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3.2.5. Иммунологические и цитокиновые показатели воспалительного процесса у исследуемых из низко-, средне- и высокогорья. </w:t>
      </w:r>
    </w:p>
    <w:p w:rsidR="007732E8" w:rsidRPr="007732E8" w:rsidRDefault="007732E8" w:rsidP="000A294B">
      <w:pPr>
        <w:spacing w:after="0" w:line="360" w:lineRule="auto"/>
        <w:ind w:firstLine="567"/>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lastRenderedPageBreak/>
        <w:t>Описание воспалительного процесса у исследуемых групп, в показателях общего анализа крови мы не касались  анализа системы интерлейкинов исследуемой групп. В таблице 3.2.5.1. собраны все данные воспалительного процесса с некоторыми антагонистическими показателями как ИЛ-0. Так нами выявлено что статистически значимое повышение уровня ИЛ-1β, интерлейкина 4 ИЛ-6 и ФНО-α у исследуемых в условиях высокогорья, относительно низко и среднегорье. Выявленные распределения свидетельствуют о более активном проявления воспаления и у жителей высокогорья в рамках исследования. Проведя параллели ранее описанными лейкоцитарными сдвигами и активностью С-реактивного белка, мы можем с уверенностью сказать о превалировании элементов, механизмов и результатов воспалительного процесса у исследуемых пациентов высокогорного региона. Тогда как в противовес активности провоспалительных цитокинез, противовоспалительной цитокины (ИЛ- 10 и ИЛ-4) проявляли свою максимальную активность в низкогорной регионе, с наименьшей активностью высокогорной когорте. Дисбаланс в про и противовоспалительных цитокинах исследуемых групп говорит о наличии дополнительных факторов поддерживающих воспаление в условиях высокогорного климата. В сочетании с высокими значениями прокальцитонина высокогорной кагорте, упомянутое утверждение получает дополнительное подтверждение. В заключении о вопросах воспалительного механизма, мы рассчитали коэффициент сбалансированности цитокинов ФНО-α / ИЛ-10 – получив высокий вариабельный клиренс у исследуемых в условиях высокогорья, относительно низкогорных и среднегорных когорт. Данные показатели имеют маркерный характер относительно рациональности включения цитокиновых механизмов иммунитета.</w:t>
      </w:r>
    </w:p>
    <w:p w:rsidR="007732E8" w:rsidRDefault="007732E8" w:rsidP="007732E8">
      <w:pPr>
        <w:spacing w:after="0" w:line="360" w:lineRule="auto"/>
        <w:jc w:val="both"/>
        <w:rPr>
          <w:rFonts w:ascii="Times New Roman" w:eastAsia="Calibri" w:hAnsi="Times New Roman" w:cs="Times New Roman"/>
          <w:sz w:val="28"/>
          <w:szCs w:val="28"/>
        </w:rPr>
      </w:pPr>
    </w:p>
    <w:p w:rsidR="000A294B" w:rsidRPr="007732E8" w:rsidRDefault="000A294B" w:rsidP="007732E8">
      <w:pPr>
        <w:spacing w:after="0" w:line="360" w:lineRule="auto"/>
        <w:jc w:val="both"/>
        <w:rPr>
          <w:rFonts w:ascii="Times New Roman" w:eastAsia="Calibri" w:hAnsi="Times New Roman" w:cs="Times New Roman"/>
          <w:sz w:val="28"/>
          <w:szCs w:val="28"/>
        </w:rPr>
      </w:pPr>
    </w:p>
    <w:p w:rsidR="007732E8" w:rsidRDefault="007732E8" w:rsidP="007732E8">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Таблица 3.2.5.1</w:t>
      </w:r>
      <w:r w:rsidR="000A294B">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Сравнительная характеристика показателей воспаления у пациентов с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  в условия</w:t>
      </w:r>
      <w:r w:rsidR="000A294B">
        <w:rPr>
          <w:rFonts w:ascii="Times New Roman" w:eastAsia="Calibri" w:hAnsi="Times New Roman" w:cs="Times New Roman"/>
          <w:sz w:val="28"/>
          <w:szCs w:val="28"/>
        </w:rPr>
        <w:t>х низко-, средне- и высокогорья</w:t>
      </w:r>
    </w:p>
    <w:tbl>
      <w:tblPr>
        <w:tblStyle w:val="a3"/>
        <w:tblW w:w="9831" w:type="dxa"/>
        <w:tblLook w:val="04A0" w:firstRow="1" w:lastRow="0" w:firstColumn="1" w:lastColumn="0" w:noHBand="0" w:noVBand="1"/>
      </w:tblPr>
      <w:tblGrid>
        <w:gridCol w:w="535"/>
        <w:gridCol w:w="2413"/>
        <w:gridCol w:w="1770"/>
        <w:gridCol w:w="1770"/>
        <w:gridCol w:w="1770"/>
        <w:gridCol w:w="9"/>
        <w:gridCol w:w="1564"/>
      </w:tblGrid>
      <w:tr w:rsidR="000A294B" w:rsidTr="000A294B">
        <w:tc>
          <w:tcPr>
            <w:tcW w:w="535"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w:t>
            </w:r>
          </w:p>
        </w:tc>
        <w:tc>
          <w:tcPr>
            <w:tcW w:w="2413"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Показатель</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Низкогорье</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lastRenderedPageBreak/>
              <w:t>(n</w:t>
            </w:r>
            <w:r w:rsidRPr="007732E8">
              <w:rPr>
                <w:rFonts w:ascii="Times New Roman" w:hAnsi="Times New Roman"/>
                <w:sz w:val="28"/>
                <w:szCs w:val="28"/>
              </w:rPr>
              <w:t>=</w:t>
            </w:r>
            <w:r w:rsidRPr="007732E8">
              <w:rPr>
                <w:rFonts w:ascii="Times New Roman" w:hAnsi="Times New Roman"/>
                <w:sz w:val="28"/>
                <w:szCs w:val="28"/>
                <w:lang w:val="en-US"/>
              </w:rPr>
              <w:t>2</w:t>
            </w:r>
            <w:r w:rsidRPr="007732E8">
              <w:rPr>
                <w:rFonts w:ascii="Times New Roman" w:hAnsi="Times New Roman"/>
                <w:sz w:val="28"/>
                <w:szCs w:val="28"/>
              </w:rPr>
              <w:t>00</w:t>
            </w:r>
            <w:r w:rsidRPr="007732E8">
              <w:rPr>
                <w:rFonts w:ascii="Times New Roman" w:hAnsi="Times New Roman"/>
                <w:sz w:val="28"/>
                <w:szCs w:val="28"/>
                <w:lang w:val="en-US"/>
              </w:rPr>
              <w:t xml:space="preserve">) </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a</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lastRenderedPageBreak/>
              <w:t>Среднегорье</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lastRenderedPageBreak/>
              <w:t>(n</w:t>
            </w:r>
            <w:r w:rsidRPr="007732E8">
              <w:rPr>
                <w:rFonts w:ascii="Times New Roman" w:hAnsi="Times New Roman"/>
                <w:sz w:val="28"/>
                <w:szCs w:val="28"/>
              </w:rPr>
              <w:t>=</w:t>
            </w:r>
            <w:r w:rsidRPr="007732E8">
              <w:rPr>
                <w:rFonts w:ascii="Times New Roman" w:hAnsi="Times New Roman"/>
                <w:sz w:val="28"/>
                <w:szCs w:val="28"/>
                <w:lang w:val="en-US"/>
              </w:rPr>
              <w:t>2</w:t>
            </w:r>
            <w:r w:rsidRPr="007732E8">
              <w:rPr>
                <w:rFonts w:ascii="Times New Roman" w:hAnsi="Times New Roman"/>
                <w:sz w:val="28"/>
                <w:szCs w:val="28"/>
              </w:rPr>
              <w:t>00</w:t>
            </w:r>
            <w:r w:rsidRPr="007732E8">
              <w:rPr>
                <w:rFonts w:ascii="Times New Roman" w:hAnsi="Times New Roman"/>
                <w:sz w:val="28"/>
                <w:szCs w:val="28"/>
                <w:lang w:val="en-US"/>
              </w:rPr>
              <w:t xml:space="preserve">) </w:t>
            </w:r>
          </w:p>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lang w:val="en-US"/>
              </w:rPr>
              <w:t>b</w:t>
            </w:r>
          </w:p>
        </w:tc>
        <w:tc>
          <w:tcPr>
            <w:tcW w:w="1779" w:type="dxa"/>
            <w:gridSpan w:val="2"/>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lastRenderedPageBreak/>
              <w:t>Высокогорье</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lastRenderedPageBreak/>
              <w:t>(n</w:t>
            </w:r>
            <w:r w:rsidRPr="007732E8">
              <w:rPr>
                <w:rFonts w:ascii="Times New Roman" w:hAnsi="Times New Roman"/>
                <w:sz w:val="28"/>
                <w:szCs w:val="28"/>
              </w:rPr>
              <w:t>=</w:t>
            </w:r>
            <w:r w:rsidRPr="007732E8">
              <w:rPr>
                <w:rFonts w:ascii="Times New Roman" w:hAnsi="Times New Roman"/>
                <w:sz w:val="28"/>
                <w:szCs w:val="28"/>
                <w:lang w:val="en-US"/>
              </w:rPr>
              <w:t>2</w:t>
            </w:r>
            <w:r w:rsidRPr="007732E8">
              <w:rPr>
                <w:rFonts w:ascii="Times New Roman" w:hAnsi="Times New Roman"/>
                <w:sz w:val="28"/>
                <w:szCs w:val="28"/>
              </w:rPr>
              <w:t>00</w:t>
            </w:r>
            <w:r w:rsidRPr="007732E8">
              <w:rPr>
                <w:rFonts w:ascii="Times New Roman" w:hAnsi="Times New Roman"/>
                <w:sz w:val="28"/>
                <w:szCs w:val="28"/>
                <w:lang w:val="en-US"/>
              </w:rPr>
              <w:t xml:space="preserve">) </w:t>
            </w:r>
          </w:p>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lang w:val="en-US"/>
              </w:rPr>
              <w:t>c</w:t>
            </w:r>
          </w:p>
        </w:tc>
        <w:tc>
          <w:tcPr>
            <w:tcW w:w="1564" w:type="dxa"/>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lastRenderedPageBreak/>
              <w:t>p</w:t>
            </w:r>
          </w:p>
        </w:tc>
      </w:tr>
      <w:tr w:rsidR="000A294B" w:rsidRPr="000D1F9B" w:rsidTr="000A294B">
        <w:tc>
          <w:tcPr>
            <w:tcW w:w="535" w:type="dxa"/>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lastRenderedPageBreak/>
              <w:t>1</w:t>
            </w:r>
          </w:p>
          <w:p w:rsidR="000A294B" w:rsidRPr="007732E8" w:rsidRDefault="000A294B" w:rsidP="00EB2490">
            <w:pPr>
              <w:spacing w:line="312" w:lineRule="auto"/>
              <w:jc w:val="center"/>
              <w:rPr>
                <w:rFonts w:ascii="Times New Roman" w:hAnsi="Times New Roman"/>
                <w:sz w:val="28"/>
                <w:szCs w:val="28"/>
                <w:lang w:val="en-US"/>
              </w:rPr>
            </w:pPr>
          </w:p>
        </w:tc>
        <w:tc>
          <w:tcPr>
            <w:tcW w:w="2413"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Лейкоциты (10^9/л)</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lang w:val="en-US"/>
              </w:rPr>
              <w:t>7</w:t>
            </w:r>
            <w:r w:rsidRPr="007732E8">
              <w:rPr>
                <w:rFonts w:ascii="Times New Roman" w:hAnsi="Times New Roman"/>
                <w:sz w:val="28"/>
                <w:szCs w:val="28"/>
              </w:rPr>
              <w:t>.18±0.127</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8.31±0.1193</w:t>
            </w:r>
          </w:p>
        </w:tc>
        <w:tc>
          <w:tcPr>
            <w:tcW w:w="1779" w:type="dxa"/>
            <w:gridSpan w:val="2"/>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7.52±0.1177</w:t>
            </w:r>
          </w:p>
        </w:tc>
        <w:tc>
          <w:tcPr>
            <w:tcW w:w="1564" w:type="dxa"/>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0A294B" w:rsidRPr="000D1F9B" w:rsidTr="000A294B">
        <w:tc>
          <w:tcPr>
            <w:tcW w:w="535" w:type="dxa"/>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2</w:t>
            </w:r>
          </w:p>
        </w:tc>
        <w:tc>
          <w:tcPr>
            <w:tcW w:w="2413"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Палочкоядерные (%)</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5.74±0.1173</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6.57±0.1227</w:t>
            </w:r>
          </w:p>
        </w:tc>
        <w:tc>
          <w:tcPr>
            <w:tcW w:w="1779" w:type="dxa"/>
            <w:gridSpan w:val="2"/>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6.04±0.1193</w:t>
            </w:r>
          </w:p>
        </w:tc>
        <w:tc>
          <w:tcPr>
            <w:tcW w:w="1564" w:type="dxa"/>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p(a\c)-0.07</w:t>
            </w:r>
          </w:p>
        </w:tc>
      </w:tr>
      <w:tr w:rsidR="000A294B" w:rsidRPr="000D1F9B" w:rsidTr="000A294B">
        <w:tc>
          <w:tcPr>
            <w:tcW w:w="535" w:type="dxa"/>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3</w:t>
            </w:r>
          </w:p>
        </w:tc>
        <w:tc>
          <w:tcPr>
            <w:tcW w:w="2413"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Сегментоядерные (%)</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72.2±0.117</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80.3±0.208</w:t>
            </w:r>
          </w:p>
        </w:tc>
        <w:tc>
          <w:tcPr>
            <w:tcW w:w="1779" w:type="dxa"/>
            <w:gridSpan w:val="2"/>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78.4±0.175</w:t>
            </w:r>
          </w:p>
        </w:tc>
        <w:tc>
          <w:tcPr>
            <w:tcW w:w="1564" w:type="dxa"/>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0A294B" w:rsidRPr="000D1F9B" w:rsidTr="000A294B">
        <w:tc>
          <w:tcPr>
            <w:tcW w:w="535" w:type="dxa"/>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4</w:t>
            </w:r>
          </w:p>
        </w:tc>
        <w:tc>
          <w:tcPr>
            <w:tcW w:w="2413"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Базофилы (%)</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0.43±0.0316</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0.51±0.0301</w:t>
            </w:r>
          </w:p>
        </w:tc>
        <w:tc>
          <w:tcPr>
            <w:tcW w:w="1779" w:type="dxa"/>
            <w:gridSpan w:val="2"/>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0.86±0.0291</w:t>
            </w:r>
          </w:p>
        </w:tc>
        <w:tc>
          <w:tcPr>
            <w:tcW w:w="1564" w:type="dxa"/>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p(a\b)-0.36</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0A294B" w:rsidRPr="000D1F9B" w:rsidTr="000A294B">
        <w:tc>
          <w:tcPr>
            <w:tcW w:w="535" w:type="dxa"/>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5</w:t>
            </w:r>
          </w:p>
        </w:tc>
        <w:tc>
          <w:tcPr>
            <w:tcW w:w="2413"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Эозинофилы (%)</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3.13±0.0417</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2.77±0.0379</w:t>
            </w:r>
          </w:p>
        </w:tc>
        <w:tc>
          <w:tcPr>
            <w:tcW w:w="1779" w:type="dxa"/>
            <w:gridSpan w:val="2"/>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3.08±0.0419</w:t>
            </w:r>
          </w:p>
        </w:tc>
        <w:tc>
          <w:tcPr>
            <w:tcW w:w="1564" w:type="dxa"/>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p(a\c)˂0.4</w:t>
            </w:r>
          </w:p>
        </w:tc>
      </w:tr>
      <w:tr w:rsidR="000A294B" w:rsidRPr="000D1F9B" w:rsidTr="000A294B">
        <w:tc>
          <w:tcPr>
            <w:tcW w:w="535" w:type="dxa"/>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6</w:t>
            </w:r>
          </w:p>
        </w:tc>
        <w:tc>
          <w:tcPr>
            <w:tcW w:w="2413"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Моноциты (%)</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7.78±0.0093</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6.93±0.0107</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7.14±0.00174</w:t>
            </w:r>
          </w:p>
        </w:tc>
        <w:tc>
          <w:tcPr>
            <w:tcW w:w="1573" w:type="dxa"/>
            <w:gridSpan w:val="2"/>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0A294B" w:rsidRPr="000D1F9B" w:rsidTr="000A294B">
        <w:tc>
          <w:tcPr>
            <w:tcW w:w="535" w:type="dxa"/>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7</w:t>
            </w:r>
          </w:p>
        </w:tc>
        <w:tc>
          <w:tcPr>
            <w:tcW w:w="2413"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Лимфоциты (%)</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24.7±0.071</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22.9±0.0542</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29.4±0.0801</w:t>
            </w:r>
          </w:p>
        </w:tc>
        <w:tc>
          <w:tcPr>
            <w:tcW w:w="1573" w:type="dxa"/>
            <w:gridSpan w:val="2"/>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0A294B" w:rsidRPr="000D1F9B" w:rsidTr="000A294B">
        <w:tc>
          <w:tcPr>
            <w:tcW w:w="535" w:type="dxa"/>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8</w:t>
            </w:r>
          </w:p>
        </w:tc>
        <w:tc>
          <w:tcPr>
            <w:tcW w:w="2413"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С-Реактивный белок (г/л)</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4.87±0.0078</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4.91±0.0095</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5.34±0.0118</w:t>
            </w:r>
          </w:p>
        </w:tc>
        <w:tc>
          <w:tcPr>
            <w:tcW w:w="1573" w:type="dxa"/>
            <w:gridSpan w:val="2"/>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0A294B" w:rsidRPr="000D1F9B" w:rsidTr="000A294B">
        <w:tc>
          <w:tcPr>
            <w:tcW w:w="535" w:type="dxa"/>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9</w:t>
            </w:r>
          </w:p>
        </w:tc>
        <w:tc>
          <w:tcPr>
            <w:tcW w:w="2413"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ИЛ-1b (пг\мл)</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2.97±0.086</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3.28±0.072</w:t>
            </w:r>
          </w:p>
        </w:tc>
        <w:tc>
          <w:tcPr>
            <w:tcW w:w="1770" w:type="dxa"/>
            <w:vAlign w:val="center"/>
          </w:tcPr>
          <w:p w:rsidR="000A294B" w:rsidRPr="007732E8" w:rsidRDefault="000A294B" w:rsidP="00EB2490">
            <w:pPr>
              <w:spacing w:line="312" w:lineRule="auto"/>
              <w:jc w:val="center"/>
              <w:rPr>
                <w:rFonts w:ascii="Times New Roman" w:hAnsi="Times New Roman"/>
                <w:sz w:val="28"/>
                <w:szCs w:val="28"/>
              </w:rPr>
            </w:pPr>
            <w:r w:rsidRPr="007732E8">
              <w:rPr>
                <w:rFonts w:ascii="Times New Roman" w:hAnsi="Times New Roman"/>
                <w:sz w:val="28"/>
                <w:szCs w:val="28"/>
              </w:rPr>
              <w:t>3.54±0.096</w:t>
            </w:r>
          </w:p>
        </w:tc>
        <w:tc>
          <w:tcPr>
            <w:tcW w:w="1573" w:type="dxa"/>
            <w:gridSpan w:val="2"/>
            <w:vAlign w:val="center"/>
          </w:tcPr>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0A294B" w:rsidRPr="007732E8"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0A294B" w:rsidRPr="00EB2490" w:rsidRDefault="000A294B" w:rsidP="00EB249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p(a\c)˂0.05</w:t>
            </w:r>
          </w:p>
          <w:p w:rsidR="000A294B" w:rsidRPr="00EB2490" w:rsidRDefault="000A294B" w:rsidP="00EB2490">
            <w:pPr>
              <w:spacing w:line="312" w:lineRule="auto"/>
              <w:jc w:val="center"/>
              <w:rPr>
                <w:rFonts w:ascii="Times New Roman" w:hAnsi="Times New Roman"/>
                <w:sz w:val="28"/>
                <w:szCs w:val="28"/>
                <w:lang w:val="en-US"/>
              </w:rPr>
            </w:pPr>
          </w:p>
        </w:tc>
      </w:tr>
    </w:tbl>
    <w:p w:rsidR="000A294B" w:rsidRPr="00EB2490" w:rsidRDefault="000A294B" w:rsidP="007732E8">
      <w:pPr>
        <w:spacing w:after="0" w:line="360" w:lineRule="auto"/>
        <w:jc w:val="both"/>
        <w:rPr>
          <w:rFonts w:ascii="Times New Roman" w:eastAsia="Calibri" w:hAnsi="Times New Roman" w:cs="Times New Roman"/>
          <w:sz w:val="28"/>
          <w:szCs w:val="28"/>
          <w:lang w:val="en-US"/>
        </w:rPr>
      </w:pPr>
    </w:p>
    <w:p w:rsidR="000A294B" w:rsidRPr="000A294B" w:rsidRDefault="000A294B" w:rsidP="000A294B">
      <w:pPr>
        <w:spacing w:after="0" w:line="360" w:lineRule="auto"/>
        <w:jc w:val="right"/>
        <w:rPr>
          <w:rFonts w:ascii="Times New Roman" w:eastAsia="Calibri" w:hAnsi="Times New Roman" w:cs="Times New Roman"/>
          <w:i/>
          <w:sz w:val="28"/>
          <w:szCs w:val="28"/>
        </w:rPr>
      </w:pPr>
      <w:r w:rsidRPr="000A294B">
        <w:rPr>
          <w:rFonts w:ascii="Times New Roman" w:eastAsia="Calibri" w:hAnsi="Times New Roman" w:cs="Times New Roman"/>
          <w:i/>
          <w:sz w:val="28"/>
          <w:szCs w:val="28"/>
        </w:rPr>
        <w:t>Продолжение таблицы 3.2.5.1</w:t>
      </w:r>
    </w:p>
    <w:tbl>
      <w:tblPr>
        <w:tblStyle w:val="a3"/>
        <w:tblW w:w="9831" w:type="dxa"/>
        <w:tblLook w:val="04A0" w:firstRow="1" w:lastRow="0" w:firstColumn="1" w:lastColumn="0" w:noHBand="0" w:noVBand="1"/>
      </w:tblPr>
      <w:tblGrid>
        <w:gridCol w:w="537"/>
        <w:gridCol w:w="2349"/>
        <w:gridCol w:w="1770"/>
        <w:gridCol w:w="1770"/>
        <w:gridCol w:w="1770"/>
        <w:gridCol w:w="1635"/>
      </w:tblGrid>
      <w:tr w:rsidR="000A294B" w:rsidRPr="000D1F9B" w:rsidTr="00EB2490">
        <w:tc>
          <w:tcPr>
            <w:tcW w:w="598" w:type="dxa"/>
            <w:vAlign w:val="center"/>
          </w:tcPr>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10</w:t>
            </w:r>
          </w:p>
        </w:tc>
        <w:tc>
          <w:tcPr>
            <w:tcW w:w="2518"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ИЛ-4 (пг\мл)</w:t>
            </w:r>
          </w:p>
        </w:tc>
        <w:tc>
          <w:tcPr>
            <w:tcW w:w="1634"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1.61±0.056</w:t>
            </w:r>
          </w:p>
        </w:tc>
        <w:tc>
          <w:tcPr>
            <w:tcW w:w="1731"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1.54±0.067</w:t>
            </w:r>
          </w:p>
        </w:tc>
        <w:tc>
          <w:tcPr>
            <w:tcW w:w="1559"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2.08±0.044</w:t>
            </w:r>
          </w:p>
        </w:tc>
        <w:tc>
          <w:tcPr>
            <w:tcW w:w="1791" w:type="dxa"/>
            <w:vAlign w:val="center"/>
          </w:tcPr>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p(a\b)-0.42</w:t>
            </w:r>
          </w:p>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lastRenderedPageBreak/>
              <w:t>p(b\c)˂0.05</w:t>
            </w:r>
          </w:p>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0A294B" w:rsidRPr="000D1F9B" w:rsidTr="00EB2490">
        <w:tc>
          <w:tcPr>
            <w:tcW w:w="598" w:type="dxa"/>
            <w:vAlign w:val="center"/>
          </w:tcPr>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lastRenderedPageBreak/>
              <w:t>11</w:t>
            </w:r>
          </w:p>
        </w:tc>
        <w:tc>
          <w:tcPr>
            <w:tcW w:w="2518"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ИЛ-6 (пг\мл)</w:t>
            </w:r>
          </w:p>
        </w:tc>
        <w:tc>
          <w:tcPr>
            <w:tcW w:w="1634"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2.71±0.018</w:t>
            </w:r>
          </w:p>
        </w:tc>
        <w:tc>
          <w:tcPr>
            <w:tcW w:w="1731"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2.84±0.028</w:t>
            </w:r>
          </w:p>
        </w:tc>
        <w:tc>
          <w:tcPr>
            <w:tcW w:w="1559"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3.01±0.039</w:t>
            </w:r>
          </w:p>
        </w:tc>
        <w:tc>
          <w:tcPr>
            <w:tcW w:w="1791" w:type="dxa"/>
            <w:vAlign w:val="center"/>
          </w:tcPr>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0A294B" w:rsidRPr="000D1F9B" w:rsidTr="00EB2490">
        <w:tc>
          <w:tcPr>
            <w:tcW w:w="598" w:type="dxa"/>
            <w:vAlign w:val="center"/>
          </w:tcPr>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12</w:t>
            </w:r>
          </w:p>
        </w:tc>
        <w:tc>
          <w:tcPr>
            <w:tcW w:w="2518"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ИЛ-10 (пг\мл)</w:t>
            </w:r>
          </w:p>
        </w:tc>
        <w:tc>
          <w:tcPr>
            <w:tcW w:w="1634"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5.91±0.055</w:t>
            </w:r>
          </w:p>
        </w:tc>
        <w:tc>
          <w:tcPr>
            <w:tcW w:w="1731"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4.52±0.068</w:t>
            </w:r>
          </w:p>
        </w:tc>
        <w:tc>
          <w:tcPr>
            <w:tcW w:w="1559"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3.75±0.063</w:t>
            </w:r>
          </w:p>
        </w:tc>
        <w:tc>
          <w:tcPr>
            <w:tcW w:w="1791" w:type="dxa"/>
            <w:vAlign w:val="center"/>
          </w:tcPr>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0A294B" w:rsidRPr="000D1F9B" w:rsidTr="00EB2490">
        <w:tc>
          <w:tcPr>
            <w:tcW w:w="598" w:type="dxa"/>
            <w:vAlign w:val="center"/>
          </w:tcPr>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13</w:t>
            </w:r>
          </w:p>
        </w:tc>
        <w:tc>
          <w:tcPr>
            <w:tcW w:w="2518"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ФНО-2 (пг\мл)</w:t>
            </w:r>
          </w:p>
        </w:tc>
        <w:tc>
          <w:tcPr>
            <w:tcW w:w="1634"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3.96±0.051</w:t>
            </w:r>
          </w:p>
        </w:tc>
        <w:tc>
          <w:tcPr>
            <w:tcW w:w="1731"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4.09±0.069</w:t>
            </w:r>
          </w:p>
        </w:tc>
        <w:tc>
          <w:tcPr>
            <w:tcW w:w="1559"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4.26±0.073</w:t>
            </w:r>
          </w:p>
        </w:tc>
        <w:tc>
          <w:tcPr>
            <w:tcW w:w="1791" w:type="dxa"/>
            <w:vAlign w:val="center"/>
          </w:tcPr>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p(a\b)-013</w:t>
            </w:r>
          </w:p>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p(b\c)-0.09</w:t>
            </w:r>
          </w:p>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0A294B" w:rsidRPr="000D1F9B" w:rsidTr="00EB2490">
        <w:tc>
          <w:tcPr>
            <w:tcW w:w="583" w:type="dxa"/>
            <w:vAlign w:val="center"/>
          </w:tcPr>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14</w:t>
            </w:r>
          </w:p>
        </w:tc>
        <w:tc>
          <w:tcPr>
            <w:tcW w:w="2485"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Коэффициент</w:t>
            </w:r>
          </w:p>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ФНО-2\ИЛ-10</w:t>
            </w:r>
          </w:p>
        </w:tc>
        <w:tc>
          <w:tcPr>
            <w:tcW w:w="1633"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0.672±0.071</w:t>
            </w:r>
          </w:p>
        </w:tc>
        <w:tc>
          <w:tcPr>
            <w:tcW w:w="1731"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0.711±0.089</w:t>
            </w:r>
          </w:p>
        </w:tc>
        <w:tc>
          <w:tcPr>
            <w:tcW w:w="1770"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1.136±0.028</w:t>
            </w:r>
          </w:p>
        </w:tc>
        <w:tc>
          <w:tcPr>
            <w:tcW w:w="1629" w:type="dxa"/>
            <w:vAlign w:val="center"/>
          </w:tcPr>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p(a\b)˂0.73</w:t>
            </w:r>
          </w:p>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0A294B" w:rsidRPr="000D1F9B" w:rsidTr="00EB2490">
        <w:tc>
          <w:tcPr>
            <w:tcW w:w="583" w:type="dxa"/>
            <w:vAlign w:val="center"/>
          </w:tcPr>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15</w:t>
            </w:r>
          </w:p>
        </w:tc>
        <w:tc>
          <w:tcPr>
            <w:tcW w:w="2485"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Прокальцитонин (нг\мл)</w:t>
            </w:r>
          </w:p>
        </w:tc>
        <w:tc>
          <w:tcPr>
            <w:tcW w:w="1633"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0.081±0.0064</w:t>
            </w:r>
          </w:p>
        </w:tc>
        <w:tc>
          <w:tcPr>
            <w:tcW w:w="1731"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0.081±0.0031</w:t>
            </w:r>
          </w:p>
        </w:tc>
        <w:tc>
          <w:tcPr>
            <w:tcW w:w="1770" w:type="dxa"/>
            <w:vAlign w:val="center"/>
          </w:tcPr>
          <w:p w:rsidR="000A294B" w:rsidRPr="007732E8" w:rsidRDefault="000A294B" w:rsidP="000A294B">
            <w:pPr>
              <w:spacing w:line="312" w:lineRule="auto"/>
              <w:jc w:val="center"/>
              <w:rPr>
                <w:rFonts w:ascii="Times New Roman" w:hAnsi="Times New Roman"/>
                <w:sz w:val="28"/>
                <w:szCs w:val="28"/>
              </w:rPr>
            </w:pPr>
            <w:r w:rsidRPr="007732E8">
              <w:rPr>
                <w:rFonts w:ascii="Times New Roman" w:hAnsi="Times New Roman"/>
                <w:sz w:val="28"/>
                <w:szCs w:val="28"/>
              </w:rPr>
              <w:t>0.136±0.0057</w:t>
            </w:r>
          </w:p>
        </w:tc>
        <w:tc>
          <w:tcPr>
            <w:tcW w:w="1629" w:type="dxa"/>
            <w:vAlign w:val="center"/>
          </w:tcPr>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0A294B" w:rsidRPr="007732E8" w:rsidRDefault="000A294B" w:rsidP="000A294B">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bl>
    <w:p w:rsidR="000A294B" w:rsidRPr="000A294B" w:rsidRDefault="000A294B" w:rsidP="000A294B">
      <w:pPr>
        <w:spacing w:after="0" w:line="360" w:lineRule="auto"/>
        <w:ind w:firstLine="567"/>
        <w:jc w:val="both"/>
        <w:rPr>
          <w:rFonts w:ascii="Times New Roman" w:eastAsia="Calibri" w:hAnsi="Times New Roman" w:cs="Times New Roman"/>
          <w:b/>
          <w:sz w:val="28"/>
          <w:szCs w:val="28"/>
          <w:lang w:val="en-US"/>
        </w:rPr>
      </w:pPr>
      <w:r w:rsidRPr="007732E8">
        <w:rPr>
          <w:rFonts w:ascii="Calibri" w:eastAsia="Calibri" w:hAnsi="Calibri" w:cs="Times New Roman"/>
          <w:noProof/>
          <w:lang w:eastAsia="ru-RU"/>
        </w:rPr>
        <w:drawing>
          <wp:anchor distT="0" distB="0" distL="114300" distR="114300" simplePos="0" relativeHeight="251661312" behindDoc="1" locked="0" layoutInCell="1" allowOverlap="1" wp14:anchorId="5038ED4F" wp14:editId="32F4D36E">
            <wp:simplePos x="0" y="0"/>
            <wp:positionH relativeFrom="margin">
              <wp:posOffset>836295</wp:posOffset>
            </wp:positionH>
            <wp:positionV relativeFrom="paragraph">
              <wp:posOffset>70485</wp:posOffset>
            </wp:positionV>
            <wp:extent cx="4612640" cy="2933065"/>
            <wp:effectExtent l="0" t="0" r="0" b="635"/>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l="21288" t="15271" r="20946" b="19440"/>
                    <a:stretch>
                      <a:fillRect/>
                    </a:stretch>
                  </pic:blipFill>
                  <pic:spPr bwMode="auto">
                    <a:xfrm>
                      <a:off x="0" y="0"/>
                      <a:ext cx="4612640" cy="2933065"/>
                    </a:xfrm>
                    <a:prstGeom prst="rect">
                      <a:avLst/>
                    </a:prstGeom>
                    <a:noFill/>
                  </pic:spPr>
                </pic:pic>
              </a:graphicData>
            </a:graphic>
            <wp14:sizeRelH relativeFrom="margin">
              <wp14:pctWidth>0</wp14:pctWidth>
            </wp14:sizeRelH>
            <wp14:sizeRelV relativeFrom="margin">
              <wp14:pctHeight>0</wp14:pctHeight>
            </wp14:sizeRelV>
          </wp:anchor>
        </w:drawing>
      </w:r>
    </w:p>
    <w:p w:rsidR="000A294B" w:rsidRPr="000A294B" w:rsidRDefault="000A294B" w:rsidP="007732E8">
      <w:pPr>
        <w:spacing w:after="0" w:line="360" w:lineRule="auto"/>
        <w:jc w:val="both"/>
        <w:rPr>
          <w:rFonts w:ascii="Times New Roman" w:eastAsia="Calibri" w:hAnsi="Times New Roman" w:cs="Times New Roman"/>
          <w:sz w:val="28"/>
          <w:szCs w:val="28"/>
          <w:lang w:val="en-US"/>
        </w:rPr>
      </w:pPr>
    </w:p>
    <w:p w:rsidR="000A294B" w:rsidRPr="007732E8" w:rsidRDefault="000A294B" w:rsidP="000A294B">
      <w:pPr>
        <w:spacing w:after="0" w:line="360" w:lineRule="auto"/>
        <w:jc w:val="both"/>
        <w:rPr>
          <w:rFonts w:ascii="Times New Roman" w:eastAsia="Calibri" w:hAnsi="Times New Roman" w:cs="Times New Roman"/>
          <w:sz w:val="28"/>
          <w:szCs w:val="28"/>
          <w:lang w:val="en-US"/>
        </w:rPr>
      </w:pPr>
    </w:p>
    <w:p w:rsidR="000A294B" w:rsidRPr="000A294B" w:rsidRDefault="000A294B" w:rsidP="007732E8">
      <w:pPr>
        <w:spacing w:after="0" w:line="360" w:lineRule="auto"/>
        <w:jc w:val="center"/>
        <w:rPr>
          <w:rFonts w:ascii="Times New Roman" w:eastAsia="Calibri" w:hAnsi="Times New Roman" w:cs="Times New Roman"/>
          <w:sz w:val="28"/>
          <w:szCs w:val="28"/>
          <w:lang w:val="en-US"/>
        </w:rPr>
      </w:pPr>
    </w:p>
    <w:p w:rsidR="000A294B" w:rsidRPr="000A294B" w:rsidRDefault="000A294B" w:rsidP="007732E8">
      <w:pPr>
        <w:spacing w:after="0" w:line="360" w:lineRule="auto"/>
        <w:jc w:val="center"/>
        <w:rPr>
          <w:rFonts w:ascii="Times New Roman" w:eastAsia="Calibri" w:hAnsi="Times New Roman" w:cs="Times New Roman"/>
          <w:sz w:val="28"/>
          <w:szCs w:val="28"/>
          <w:lang w:val="en-US"/>
        </w:rPr>
      </w:pPr>
    </w:p>
    <w:p w:rsidR="000A294B" w:rsidRPr="000A294B" w:rsidRDefault="000A294B" w:rsidP="007732E8">
      <w:pPr>
        <w:spacing w:after="0" w:line="360" w:lineRule="auto"/>
        <w:jc w:val="center"/>
        <w:rPr>
          <w:rFonts w:ascii="Times New Roman" w:eastAsia="Calibri" w:hAnsi="Times New Roman" w:cs="Times New Roman"/>
          <w:sz w:val="28"/>
          <w:szCs w:val="28"/>
          <w:lang w:val="en-US"/>
        </w:rPr>
      </w:pPr>
    </w:p>
    <w:p w:rsidR="000A294B" w:rsidRPr="00EB2490" w:rsidRDefault="000A294B" w:rsidP="007732E8">
      <w:pPr>
        <w:spacing w:after="0" w:line="360" w:lineRule="auto"/>
        <w:jc w:val="center"/>
        <w:rPr>
          <w:rFonts w:ascii="Times New Roman" w:eastAsia="Calibri" w:hAnsi="Times New Roman" w:cs="Times New Roman"/>
          <w:sz w:val="28"/>
          <w:szCs w:val="28"/>
          <w:lang w:val="en-US"/>
        </w:rPr>
      </w:pPr>
    </w:p>
    <w:p w:rsidR="000A294B" w:rsidRPr="00EB2490" w:rsidRDefault="000A294B" w:rsidP="007732E8">
      <w:pPr>
        <w:spacing w:after="0" w:line="360" w:lineRule="auto"/>
        <w:jc w:val="center"/>
        <w:rPr>
          <w:rFonts w:ascii="Times New Roman" w:eastAsia="Calibri" w:hAnsi="Times New Roman" w:cs="Times New Roman"/>
          <w:sz w:val="28"/>
          <w:szCs w:val="28"/>
          <w:lang w:val="en-US"/>
        </w:rPr>
      </w:pPr>
    </w:p>
    <w:p w:rsidR="000A294B" w:rsidRPr="00EB2490" w:rsidRDefault="000A294B" w:rsidP="007732E8">
      <w:pPr>
        <w:spacing w:after="0" w:line="360" w:lineRule="auto"/>
        <w:jc w:val="center"/>
        <w:rPr>
          <w:rFonts w:ascii="Times New Roman" w:eastAsia="Calibri" w:hAnsi="Times New Roman" w:cs="Times New Roman"/>
          <w:sz w:val="28"/>
          <w:szCs w:val="28"/>
          <w:lang w:val="en-US"/>
        </w:rPr>
      </w:pPr>
    </w:p>
    <w:p w:rsidR="000A294B" w:rsidRPr="00EB2490" w:rsidRDefault="000A294B" w:rsidP="007732E8">
      <w:pPr>
        <w:spacing w:after="0" w:line="360" w:lineRule="auto"/>
        <w:jc w:val="center"/>
        <w:rPr>
          <w:rFonts w:ascii="Times New Roman" w:eastAsia="Calibri" w:hAnsi="Times New Roman" w:cs="Times New Roman"/>
          <w:sz w:val="28"/>
          <w:szCs w:val="28"/>
          <w:lang w:val="en-US"/>
        </w:rPr>
      </w:pPr>
    </w:p>
    <w:p w:rsidR="007732E8" w:rsidRPr="007732E8" w:rsidRDefault="000A294B" w:rsidP="007732E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3.2.5.1 ‒</w:t>
      </w:r>
      <w:r w:rsidR="007732E8" w:rsidRPr="007732E8">
        <w:rPr>
          <w:rFonts w:ascii="Times New Roman" w:eastAsia="Calibri" w:hAnsi="Times New Roman" w:cs="Times New Roman"/>
          <w:sz w:val="28"/>
          <w:szCs w:val="28"/>
        </w:rPr>
        <w:t xml:space="preserve"> Первичные изменения показателей в период продрома и разгара заболевания </w:t>
      </w:r>
      <w:r w:rsidR="007732E8" w:rsidRPr="007732E8">
        <w:rPr>
          <w:rFonts w:ascii="Times New Roman" w:eastAsia="Calibri" w:hAnsi="Times New Roman" w:cs="Times New Roman"/>
          <w:sz w:val="28"/>
          <w:szCs w:val="28"/>
          <w:lang w:val="en-US"/>
        </w:rPr>
        <w:t>COVID</w:t>
      </w:r>
      <w:r w:rsidR="007732E8" w:rsidRPr="007732E8">
        <w:rPr>
          <w:rFonts w:ascii="Times New Roman" w:eastAsia="Calibri" w:hAnsi="Times New Roman" w:cs="Times New Roman"/>
          <w:sz w:val="28"/>
          <w:szCs w:val="28"/>
        </w:rPr>
        <w:t>-19 в условиях низко-, средне- и высокогорья.</w:t>
      </w: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8A2F75">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Динамические показатели лейкоцитарный сдвигов, проявляют разнородность в момент поступления с тенденцией к стабилизации дисперсии к </w:t>
      </w:r>
      <w:r w:rsidRPr="007732E8">
        <w:rPr>
          <w:rFonts w:ascii="Times New Roman" w:eastAsia="Calibri" w:hAnsi="Times New Roman" w:cs="Times New Roman"/>
          <w:sz w:val="28"/>
          <w:szCs w:val="28"/>
        </w:rPr>
        <w:lastRenderedPageBreak/>
        <w:t xml:space="preserve">моменту выздоровления у всех исследуемых групп. Так общая численность лейкоцитов увеличилась во всех исследуемых группах с преобладанием в среднегорном регионе, далее высокогорном и меньше всего в низкогорье. Указанная динамика сохранялась до третьего дня наблюдения, затем, показатель лейкоцитов превалировал у исследуемых из высокогорья и низкогорья а число лейкоцитов у жителей среднегорье стремилась к нормальному значению. Общий уровень, пройдя седьмые сутки заболевания, имел тенденцию к снижению с последующей стабилизации в рамках нормативных значений. Более наглядный показатели популяции лейкоцитов. Так сегментоядерные, превалируют в крови у исследуемых из среднегорного региона, тогда как высокогорье заняло позицию на 4 процентных пункта ниже первого региона, а значение низкогорье проявились меньше всех исследуемых групп. График концентрации сегментоядерных оставалось аналогичной показателям лейкоцитов. На третий день регистрации, уровень начал нисходящую траекторию к референсным значением но разной скоростью в исследуемых группах. Так, в среднегорье, на 2% пункта отставала от высокогорья, а низкогорные показатели не имели существенного люфта. На пятые сутки, значения сегментоядерных нейтрофилов в низкогорье превышали значение среднегорье на 3%, но с отставанием от высокогорье на 1,5 – 2%. К моменту выздоровления, у всех исследуемых отмечались референсные значения, но более высокими значениями среднегорной когорты относительно низко – и высокогорье. </w:t>
      </w:r>
    </w:p>
    <w:p w:rsidR="007732E8" w:rsidRPr="007732E8" w:rsidRDefault="007732E8" w:rsidP="008A2F75">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Лимфоцитарные параметры, в момент поступления, были значительно выше у исследуемых из высокогорного региона затем низкогорья, а среднегорные значения были максимально приближены к референту относительно первых групп. Данное распределение значений в исследуемых группах сохраняется во всём периоде наблюдения. Далее отражается равномерное и последовательное снижение уровня лимфоцитов до «нормы» во всех трёх группах.</w:t>
      </w: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Calibri" w:eastAsia="Calibri" w:hAnsi="Calibri" w:cs="Times New Roman"/>
          <w:noProof/>
          <w:lang w:eastAsia="ru-RU"/>
        </w:rPr>
        <w:lastRenderedPageBreak/>
        <w:drawing>
          <wp:inline distT="0" distB="0" distL="0" distR="0" wp14:anchorId="5571F4F7" wp14:editId="0FCF859E">
            <wp:extent cx="5593080" cy="3505200"/>
            <wp:effectExtent l="0" t="0" r="762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l="20541" t="15050" r="20822" b="19661"/>
                    <a:stretch>
                      <a:fillRect/>
                    </a:stretch>
                  </pic:blipFill>
                  <pic:spPr bwMode="auto">
                    <a:xfrm>
                      <a:off x="0" y="0"/>
                      <a:ext cx="5593080" cy="3505200"/>
                    </a:xfrm>
                    <a:prstGeom prst="rect">
                      <a:avLst/>
                    </a:prstGeom>
                    <a:noFill/>
                    <a:ln>
                      <a:noFill/>
                    </a:ln>
                  </pic:spPr>
                </pic:pic>
              </a:graphicData>
            </a:graphic>
          </wp:inline>
        </w:drawing>
      </w: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Times New Roman" w:eastAsia="Calibri" w:hAnsi="Times New Roman" w:cs="Times New Roman"/>
          <w:sz w:val="28"/>
          <w:szCs w:val="28"/>
        </w:rPr>
        <w:t>Рисунок 3.2.5.2</w:t>
      </w:r>
      <w:r w:rsidR="00E51ED7">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Цитокиновый тренд в период заболевания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 xml:space="preserve">-19 </w:t>
      </w:r>
      <w:r w:rsidR="00E51ED7">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в исследуемых регионах.</w:t>
      </w:r>
    </w:p>
    <w:p w:rsidR="007732E8" w:rsidRPr="007732E8" w:rsidRDefault="007732E8" w:rsidP="007732E8">
      <w:pPr>
        <w:spacing w:after="0" w:line="360" w:lineRule="auto"/>
        <w:jc w:val="center"/>
        <w:rPr>
          <w:rFonts w:ascii="Times New Roman" w:eastAsia="Calibri" w:hAnsi="Times New Roman" w:cs="Times New Roman"/>
          <w:sz w:val="28"/>
          <w:szCs w:val="28"/>
        </w:rPr>
      </w:pPr>
    </w:p>
    <w:p w:rsidR="007732E8" w:rsidRPr="007732E8" w:rsidRDefault="007732E8" w:rsidP="008A2F75">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Цитокиновые показатели в трёх регионах, имеют общую тенденцию сторону понижения активности относительно высоты региона. Так группа провоспалительных цитокинов (ИЛ-1b; ИЛ-6; ФНО-а) имеет чёткий тренд в нисходящем направлении, начиная с высокогорья до низкогорного региона, что свидетельствует об их максимальной активности в указанном регионе относительно других групп. Противовоспалительные цитокины, не имеют в своем распределении столь однозначный тренд. Так, уровень ИЛ-10 складывается общую картину обратного, относительно провоспалительных цитокинов, направлении (от низкогорья к высокогорью), тогда как значение ИЛ-4 в высокогорье превышает значение среднегорье, достигая тождества с низкогорными значениями. Данный феномен, свидетельствует о дисбалансе в про – и противовоспалительной активности цитокиновых механизмов. В подтверждении к вышесказанному, мы определили цитокиновой коэффициент (ФНО-а/ИЛ-10) - характеризующиеся большим значением у исследуемых из высокогорного региона.</w:t>
      </w:r>
    </w:p>
    <w:p w:rsidR="007732E8" w:rsidRPr="007732E8" w:rsidRDefault="007732E8" w:rsidP="007732E8">
      <w:pPr>
        <w:spacing w:after="0" w:line="360" w:lineRule="auto"/>
        <w:rPr>
          <w:rFonts w:ascii="Times New Roman" w:eastAsia="Calibri" w:hAnsi="Times New Roman" w:cs="Times New Roman"/>
          <w:sz w:val="28"/>
          <w:szCs w:val="28"/>
        </w:rPr>
      </w:pPr>
      <w:r w:rsidRPr="007732E8">
        <w:rPr>
          <w:rFonts w:ascii="Calibri" w:eastAsia="Calibri" w:hAnsi="Calibri" w:cs="Times New Roman"/>
          <w:noProof/>
          <w:lang w:eastAsia="ru-RU"/>
        </w:rPr>
        <w:lastRenderedPageBreak/>
        <w:drawing>
          <wp:anchor distT="0" distB="0" distL="114300" distR="114300" simplePos="0" relativeHeight="251662336" behindDoc="0" locked="0" layoutInCell="1" allowOverlap="1" wp14:anchorId="2745C8BB" wp14:editId="3B32689A">
            <wp:simplePos x="0" y="0"/>
            <wp:positionH relativeFrom="margin">
              <wp:align>center</wp:align>
            </wp:positionH>
            <wp:positionV relativeFrom="paragraph">
              <wp:posOffset>0</wp:posOffset>
            </wp:positionV>
            <wp:extent cx="5631180" cy="4706620"/>
            <wp:effectExtent l="0" t="0" r="7620" b="0"/>
            <wp:wrapSquare wrapText="bothSides"/>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l="22659" t="10181" r="26547" b="14349"/>
                    <a:stretch>
                      <a:fillRect/>
                    </a:stretch>
                  </pic:blipFill>
                  <pic:spPr bwMode="auto">
                    <a:xfrm>
                      <a:off x="0" y="0"/>
                      <a:ext cx="5631180" cy="4706620"/>
                    </a:xfrm>
                    <a:prstGeom prst="rect">
                      <a:avLst/>
                    </a:prstGeom>
                    <a:noFill/>
                  </pic:spPr>
                </pic:pic>
              </a:graphicData>
            </a:graphic>
            <wp14:sizeRelH relativeFrom="margin">
              <wp14:pctWidth>0</wp14:pctWidth>
            </wp14:sizeRelH>
            <wp14:sizeRelV relativeFrom="margin">
              <wp14:pctHeight>0</wp14:pctHeight>
            </wp14:sizeRelV>
          </wp:anchor>
        </w:drawing>
      </w:r>
      <w:r w:rsidRPr="007732E8">
        <w:rPr>
          <w:rFonts w:ascii="Calibri" w:eastAsia="Calibri" w:hAnsi="Calibri" w:cs="Times New Roman"/>
          <w:noProof/>
          <w:lang w:eastAsia="ru-RU"/>
        </w:rPr>
        <w:drawing>
          <wp:inline distT="0" distB="0" distL="0" distR="0" wp14:anchorId="17E3BE67" wp14:editId="170C42D2">
            <wp:extent cx="5577840" cy="2735580"/>
            <wp:effectExtent l="0" t="0" r="3810" b="762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l="22906" t="30984" r="27295" b="24751"/>
                    <a:stretch>
                      <a:fillRect/>
                    </a:stretch>
                  </pic:blipFill>
                  <pic:spPr bwMode="auto">
                    <a:xfrm>
                      <a:off x="0" y="0"/>
                      <a:ext cx="5577840" cy="2735580"/>
                    </a:xfrm>
                    <a:prstGeom prst="rect">
                      <a:avLst/>
                    </a:prstGeom>
                    <a:noFill/>
                    <a:ln>
                      <a:noFill/>
                    </a:ln>
                  </pic:spPr>
                </pic:pic>
              </a:graphicData>
            </a:graphic>
          </wp:inline>
        </w:drawing>
      </w: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Times New Roman" w:eastAsia="Calibri" w:hAnsi="Times New Roman" w:cs="Times New Roman"/>
          <w:sz w:val="28"/>
          <w:szCs w:val="28"/>
        </w:rPr>
        <w:t>Рисунок 3.2.5.3</w:t>
      </w:r>
      <w:r w:rsidR="00E51ED7">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Оценка сбалансированности про и противовоспалительных цитокинов в корреляции от нейтрофилов и лимфоцитов в исследуемых условиях.</w:t>
      </w:r>
    </w:p>
    <w:p w:rsidR="007732E8" w:rsidRPr="007732E8" w:rsidRDefault="007732E8" w:rsidP="008A2F75">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Корреляционный анализ, воспалительный механизмов между базовыми показателями общего анализа крови и специфических цитокиновых маркеров, </w:t>
      </w:r>
      <w:r w:rsidRPr="007732E8">
        <w:rPr>
          <w:rFonts w:ascii="Times New Roman" w:eastAsia="Calibri" w:hAnsi="Times New Roman" w:cs="Times New Roman"/>
          <w:sz w:val="28"/>
          <w:szCs w:val="28"/>
        </w:rPr>
        <w:lastRenderedPageBreak/>
        <w:t>проявил ряд особенности. Так на графиках A и B указаны коллекционные зависимости от ИЛ-6. Выявлено средняя по значимости (r&lt;0.61) связь между концентрацией нейтрофилов (сегментоядерных) с повышением ИЛ-6, с особенностью регрессии в обратном направлении, от высоты региона исследования. Лимфоцитарный показатель, проявил более высокую прямую зависимость относительно корреляции ИЛ-6 (r= 0,74), с характерной обратной регрессией значение силы корреляции, относительно высоты региона. График В, наглядно демонстрирует что концентрация лимфоцитов, несёт в себе информацию о состоянии провоспалительного цитокинового статуса у жителей высокогорного региона. На графиках С и D, отражаются данные противовоспалительной активности цитокинов у исследуемых групп, относительно концентрации нейтрофилов и лимфоцитов крови. Таким образом, связь между нейтрофилами и ИЛ-10 является статистически незначимой (r&lt;0.26) регрессией, относительно высоты постоянного проживания (график С). Лимфоцитарный статус в корреляции с ИЛ-10 проявился активнее, но также оставался на значениях слабо выраженный обратной корреляции во всех исследуемых регионах (r&lt;0.73). Графики F и E, отражают, коллекционные значения выше описанных базовых показателей от клиренса цитокинов коэффициента. Так, мы наблюдаем полное отсутствие связи между коэффициентом цитокинов и концентрация нейтрофилов (r&lt;0.16), что свидетельствует о незначительной роли нейтрофилов как предиктора цитокиновой активности и его баланса. Концентрация лимфоцитов, проявили среднюю корреляционную зависимость (r=0.42 – 0,63). Наиболее высокая коллекционная связь выявлена у группы с высокогорного региона (r= 0.63), что свидетельствует о роли лимфоцитов в общем анализе крови как предварительного маркера сбалансированности цитокиновой системы у лиц проживающих высокогорном регионе.</w:t>
      </w:r>
    </w:p>
    <w:p w:rsidR="007732E8" w:rsidRPr="007732E8" w:rsidRDefault="007732E8" w:rsidP="008A2F75">
      <w:pPr>
        <w:spacing w:after="0" w:line="360" w:lineRule="auto"/>
        <w:ind w:firstLine="709"/>
        <w:jc w:val="both"/>
        <w:rPr>
          <w:rFonts w:ascii="Times New Roman" w:eastAsia="Calibri" w:hAnsi="Times New Roman" w:cs="Times New Roman"/>
          <w:sz w:val="28"/>
          <w:szCs w:val="28"/>
        </w:rPr>
      </w:pPr>
    </w:p>
    <w:p w:rsidR="007732E8" w:rsidRPr="007732E8" w:rsidRDefault="007732E8" w:rsidP="00E51ED7">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Таблица 3.2.5.2</w:t>
      </w:r>
      <w:r w:rsidR="00E51ED7">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Показатели продуктов перекислого окислен</w:t>
      </w:r>
      <w:r w:rsidR="00E51ED7">
        <w:rPr>
          <w:rFonts w:ascii="Times New Roman" w:eastAsia="Calibri" w:hAnsi="Times New Roman" w:cs="Times New Roman"/>
          <w:sz w:val="28"/>
          <w:szCs w:val="28"/>
        </w:rPr>
        <w:t>ия липидов у исследуемых групп</w:t>
      </w:r>
    </w:p>
    <w:tbl>
      <w:tblPr>
        <w:tblStyle w:val="a3"/>
        <w:tblW w:w="0" w:type="auto"/>
        <w:tblLook w:val="04A0" w:firstRow="1" w:lastRow="0" w:firstColumn="1" w:lastColumn="0" w:noHBand="0" w:noVBand="1"/>
      </w:tblPr>
      <w:tblGrid>
        <w:gridCol w:w="920"/>
        <w:gridCol w:w="2049"/>
        <w:gridCol w:w="1705"/>
        <w:gridCol w:w="1792"/>
        <w:gridCol w:w="1826"/>
        <w:gridCol w:w="1562"/>
      </w:tblGrid>
      <w:tr w:rsidR="007732E8" w:rsidRPr="007732E8" w:rsidTr="007732E8">
        <w:tc>
          <w:tcPr>
            <w:tcW w:w="98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lastRenderedPageBreak/>
              <w:t>№</w:t>
            </w:r>
          </w:p>
        </w:tc>
        <w:tc>
          <w:tcPr>
            <w:tcW w:w="171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Параметры</w:t>
            </w:r>
          </w:p>
        </w:tc>
        <w:tc>
          <w:tcPr>
            <w:tcW w:w="172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Низкогорье</w:t>
            </w:r>
          </w:p>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rPr>
              <w:t>(</w:t>
            </w:r>
            <w:r w:rsidRPr="007732E8">
              <w:rPr>
                <w:rFonts w:ascii="Times New Roman" w:hAnsi="Times New Roman"/>
                <w:sz w:val="28"/>
                <w:szCs w:val="28"/>
                <w:lang w:val="en-US"/>
              </w:rPr>
              <w:t>n=200)</w:t>
            </w:r>
          </w:p>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a</w:t>
            </w:r>
          </w:p>
        </w:tc>
        <w:tc>
          <w:tcPr>
            <w:tcW w:w="180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Среднегорье</w:t>
            </w:r>
          </w:p>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rPr>
              <w:t>(</w:t>
            </w:r>
            <w:r w:rsidRPr="007732E8">
              <w:rPr>
                <w:rFonts w:ascii="Times New Roman" w:hAnsi="Times New Roman"/>
                <w:sz w:val="28"/>
                <w:szCs w:val="28"/>
                <w:lang w:val="en-US"/>
              </w:rPr>
              <w:t>n=200)</w:t>
            </w:r>
          </w:p>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b</w:t>
            </w:r>
          </w:p>
        </w:tc>
        <w:tc>
          <w:tcPr>
            <w:tcW w:w="1833"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Высокогорье</w:t>
            </w:r>
          </w:p>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rPr>
              <w:t>(</w:t>
            </w:r>
            <w:r w:rsidRPr="007732E8">
              <w:rPr>
                <w:rFonts w:ascii="Times New Roman" w:hAnsi="Times New Roman"/>
                <w:sz w:val="28"/>
                <w:szCs w:val="28"/>
                <w:lang w:val="en-US"/>
              </w:rPr>
              <w:t>n=200)</w:t>
            </w:r>
          </w:p>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c</w:t>
            </w:r>
          </w:p>
        </w:tc>
        <w:tc>
          <w:tcPr>
            <w:tcW w:w="156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w:t>
            </w:r>
          </w:p>
        </w:tc>
      </w:tr>
      <w:tr w:rsidR="007732E8" w:rsidRPr="007732E8" w:rsidTr="007732E8">
        <w:tc>
          <w:tcPr>
            <w:tcW w:w="988" w:type="dxa"/>
            <w:tcBorders>
              <w:top w:val="single" w:sz="4" w:space="0" w:color="auto"/>
              <w:left w:val="single" w:sz="4" w:space="0" w:color="auto"/>
              <w:bottom w:val="single" w:sz="4" w:space="0" w:color="auto"/>
              <w:right w:val="single" w:sz="4" w:space="0" w:color="auto"/>
            </w:tcBorders>
          </w:tcPr>
          <w:p w:rsidR="007732E8" w:rsidRPr="007732E8" w:rsidRDefault="007732E8" w:rsidP="007732E8">
            <w:pPr>
              <w:numPr>
                <w:ilvl w:val="0"/>
                <w:numId w:val="14"/>
              </w:numPr>
              <w:spacing w:line="360" w:lineRule="auto"/>
              <w:contextualSpacing/>
              <w:jc w:val="center"/>
              <w:rPr>
                <w:rFonts w:ascii="Times New Roman" w:hAnsi="Times New Roman"/>
                <w:sz w:val="28"/>
                <w:szCs w:val="28"/>
                <w:lang w:val="en-US"/>
              </w:rPr>
            </w:pPr>
          </w:p>
        </w:tc>
        <w:tc>
          <w:tcPr>
            <w:tcW w:w="171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Гидроперекиси липидов (Ед/мл)</w:t>
            </w:r>
          </w:p>
        </w:tc>
        <w:tc>
          <w:tcPr>
            <w:tcW w:w="172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2.53±0.116</w:t>
            </w:r>
          </w:p>
        </w:tc>
        <w:tc>
          <w:tcPr>
            <w:tcW w:w="180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1.33±0.082</w:t>
            </w:r>
          </w:p>
        </w:tc>
        <w:tc>
          <w:tcPr>
            <w:tcW w:w="1833"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5.84±0.184</w:t>
            </w:r>
          </w:p>
        </w:tc>
        <w:tc>
          <w:tcPr>
            <w:tcW w:w="156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7732E8" w:rsidRPr="007732E8" w:rsidTr="007732E8">
        <w:tc>
          <w:tcPr>
            <w:tcW w:w="988" w:type="dxa"/>
            <w:tcBorders>
              <w:top w:val="single" w:sz="4" w:space="0" w:color="auto"/>
              <w:left w:val="single" w:sz="4" w:space="0" w:color="auto"/>
              <w:bottom w:val="single" w:sz="4" w:space="0" w:color="auto"/>
              <w:right w:val="single" w:sz="4" w:space="0" w:color="auto"/>
            </w:tcBorders>
          </w:tcPr>
          <w:p w:rsidR="007732E8" w:rsidRPr="007732E8" w:rsidRDefault="007732E8" w:rsidP="007732E8">
            <w:pPr>
              <w:numPr>
                <w:ilvl w:val="0"/>
                <w:numId w:val="14"/>
              </w:numPr>
              <w:spacing w:line="360" w:lineRule="auto"/>
              <w:contextualSpacing/>
              <w:jc w:val="center"/>
              <w:rPr>
                <w:rFonts w:ascii="Times New Roman" w:hAnsi="Times New Roman"/>
                <w:sz w:val="28"/>
                <w:szCs w:val="28"/>
                <w:lang w:val="en-US"/>
              </w:rPr>
            </w:pPr>
          </w:p>
        </w:tc>
        <w:tc>
          <w:tcPr>
            <w:tcW w:w="171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Диенкетоны (Ед/мл)</w:t>
            </w:r>
          </w:p>
        </w:tc>
        <w:tc>
          <w:tcPr>
            <w:tcW w:w="172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1.84±0.161</w:t>
            </w:r>
          </w:p>
        </w:tc>
        <w:tc>
          <w:tcPr>
            <w:tcW w:w="180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0.731±0.082</w:t>
            </w:r>
          </w:p>
        </w:tc>
        <w:tc>
          <w:tcPr>
            <w:tcW w:w="1833"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3.37±0.214</w:t>
            </w:r>
          </w:p>
        </w:tc>
        <w:tc>
          <w:tcPr>
            <w:tcW w:w="156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7732E8" w:rsidRPr="007732E8" w:rsidTr="007732E8">
        <w:tc>
          <w:tcPr>
            <w:tcW w:w="988" w:type="dxa"/>
            <w:tcBorders>
              <w:top w:val="single" w:sz="4" w:space="0" w:color="auto"/>
              <w:left w:val="single" w:sz="4" w:space="0" w:color="auto"/>
              <w:bottom w:val="single" w:sz="4" w:space="0" w:color="auto"/>
              <w:right w:val="single" w:sz="4" w:space="0" w:color="auto"/>
            </w:tcBorders>
          </w:tcPr>
          <w:p w:rsidR="007732E8" w:rsidRPr="007732E8" w:rsidRDefault="007732E8" w:rsidP="007732E8">
            <w:pPr>
              <w:numPr>
                <w:ilvl w:val="0"/>
                <w:numId w:val="14"/>
              </w:numPr>
              <w:spacing w:line="360" w:lineRule="auto"/>
              <w:contextualSpacing/>
              <w:jc w:val="center"/>
              <w:rPr>
                <w:rFonts w:ascii="Times New Roman" w:hAnsi="Times New Roman"/>
                <w:sz w:val="28"/>
                <w:szCs w:val="28"/>
                <w:lang w:val="en-US"/>
              </w:rPr>
            </w:pPr>
          </w:p>
        </w:tc>
        <w:tc>
          <w:tcPr>
            <w:tcW w:w="171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Нейтральные липиды (Ед/мл)</w:t>
            </w:r>
          </w:p>
        </w:tc>
        <w:tc>
          <w:tcPr>
            <w:tcW w:w="1721"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1.42±0.077</w:t>
            </w:r>
          </w:p>
        </w:tc>
        <w:tc>
          <w:tcPr>
            <w:tcW w:w="1802"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1.59±0.093</w:t>
            </w:r>
          </w:p>
        </w:tc>
        <w:tc>
          <w:tcPr>
            <w:tcW w:w="1833"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rPr>
            </w:pPr>
            <w:r w:rsidRPr="007732E8">
              <w:rPr>
                <w:rFonts w:ascii="Times New Roman" w:hAnsi="Times New Roman"/>
                <w:sz w:val="28"/>
                <w:szCs w:val="28"/>
              </w:rPr>
              <w:t>1.44±0.107</w:t>
            </w:r>
          </w:p>
        </w:tc>
        <w:tc>
          <w:tcPr>
            <w:tcW w:w="156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7732E8" w:rsidRPr="007732E8" w:rsidRDefault="007732E8" w:rsidP="007732E8">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bl>
    <w:p w:rsidR="007732E8" w:rsidRPr="007732E8" w:rsidRDefault="007732E8" w:rsidP="007732E8">
      <w:pPr>
        <w:spacing w:after="0" w:line="360" w:lineRule="auto"/>
        <w:jc w:val="both"/>
        <w:rPr>
          <w:rFonts w:ascii="Times New Roman" w:eastAsia="Calibri" w:hAnsi="Times New Roman" w:cs="Times New Roman"/>
          <w:sz w:val="28"/>
          <w:szCs w:val="28"/>
          <w:lang w:val="en-US"/>
        </w:rPr>
      </w:pPr>
    </w:p>
    <w:p w:rsidR="007732E8" w:rsidRPr="007732E8" w:rsidRDefault="007732E8" w:rsidP="008A2F75">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Гидроперекиси липидов значимо повышены в крови у пациентов с высокогорного региона, относительно средне- и низкогорья. Увеличение, показателя, говорит об активном мембранотоксическом процессе в организме пациентов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 xml:space="preserve">-19. Так, радикальная активность структурных компонентов биологических мембран, нарушает её физиологические свойства, приводят клетку, сначала к физиологической дисфункции а в последующем к гибели. Ввиду того что </w:t>
      </w:r>
      <w:r w:rsidRPr="007732E8">
        <w:rPr>
          <w:rFonts w:ascii="Times New Roman" w:eastAsia="Calibri" w:hAnsi="Times New Roman" w:cs="Times New Roman"/>
          <w:sz w:val="28"/>
          <w:szCs w:val="28"/>
          <w:lang w:val="en-US"/>
        </w:rPr>
        <w:t>SARS</w:t>
      </w:r>
      <w:r w:rsidRPr="007732E8">
        <w:rPr>
          <w:rFonts w:ascii="Times New Roman" w:eastAsia="Calibri" w:hAnsi="Times New Roman" w:cs="Times New Roman"/>
          <w:sz w:val="28"/>
          <w:szCs w:val="28"/>
        </w:rPr>
        <w:t>-</w:t>
      </w:r>
      <w:r w:rsidRPr="007732E8">
        <w:rPr>
          <w:rFonts w:ascii="Times New Roman" w:eastAsia="Calibri" w:hAnsi="Times New Roman" w:cs="Times New Roman"/>
          <w:sz w:val="28"/>
          <w:szCs w:val="28"/>
          <w:lang w:val="en-US"/>
        </w:rPr>
        <w:t>CoV</w:t>
      </w:r>
      <w:r w:rsidRPr="007732E8">
        <w:rPr>
          <w:rFonts w:ascii="Times New Roman" w:eastAsia="Calibri" w:hAnsi="Times New Roman" w:cs="Times New Roman"/>
          <w:sz w:val="28"/>
          <w:szCs w:val="28"/>
        </w:rPr>
        <w:t xml:space="preserve">-2, активирует каскад цитокиновых механизмов с развитием воспаления, а последние в свою очередь вызывает высвобождение свободно-радикального кислорода, активирует каскад перекислого окисления липидов. Указанный механизм, формирует порочный круг, где воспаление инициирует иные механизмы воспаление через ПОЛ, а последний усиливает эффект первого. То есть, указывая разницу в показателя гидроперекиси липидов, мы полагаем о более активном и продолжительном развитии воспалительного процесса у пациентов с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 xml:space="preserve">-19 в условиях высокогорья. </w:t>
      </w:r>
    </w:p>
    <w:p w:rsidR="007732E8" w:rsidRPr="007732E8" w:rsidRDefault="007732E8" w:rsidP="008A2F75">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Повышенные значения диенкетонов из когорты высокогорья, относительно низко- и среднегорья, свидетельствует об активности перекислого окисления липидов. Окисленные диенкетоны, обладают прямым </w:t>
      </w:r>
      <w:r w:rsidRPr="007732E8">
        <w:rPr>
          <w:rFonts w:ascii="Times New Roman" w:eastAsia="Calibri" w:hAnsi="Times New Roman" w:cs="Times New Roman"/>
          <w:sz w:val="28"/>
          <w:szCs w:val="28"/>
        </w:rPr>
        <w:lastRenderedPageBreak/>
        <w:t xml:space="preserve">цитотоксическим эффектом, что характеризует клинические проявления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 xml:space="preserve">-19 у высокогорной когорты. Помимо вышеуказанного, повышение диенкетонов, участвуют в процессе дополнительной поддержки воспаления посредством выработки цитокинов. </w:t>
      </w:r>
    </w:p>
    <w:p w:rsidR="007732E8" w:rsidRPr="007732E8" w:rsidRDefault="007732E8" w:rsidP="008A2F75">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Нейтральные липиды в крови исследуемые групп не имеют статистически значимой разницы.</w:t>
      </w:r>
    </w:p>
    <w:p w:rsidR="007732E8" w:rsidRPr="007732E8" w:rsidRDefault="007732E8" w:rsidP="0032510D">
      <w:pPr>
        <w:spacing w:after="0" w:line="360" w:lineRule="auto"/>
        <w:ind w:firstLine="567"/>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3.2.6. Особенности проявления свертывающей системы крови у пациентов с </w:t>
      </w:r>
      <w:r w:rsidRPr="007732E8">
        <w:rPr>
          <w:rFonts w:ascii="Times New Roman" w:eastAsia="Calibri" w:hAnsi="Times New Roman" w:cs="Times New Roman"/>
          <w:b/>
          <w:sz w:val="28"/>
          <w:szCs w:val="28"/>
          <w:lang w:val="en-US"/>
        </w:rPr>
        <w:t>COVID</w:t>
      </w:r>
      <w:r w:rsidRPr="007732E8">
        <w:rPr>
          <w:rFonts w:ascii="Times New Roman" w:eastAsia="Calibri" w:hAnsi="Times New Roman" w:cs="Times New Roman"/>
          <w:b/>
          <w:sz w:val="28"/>
          <w:szCs w:val="28"/>
        </w:rPr>
        <w:t xml:space="preserve">-19 в условиях низко-, средне- и высокогорья. </w:t>
      </w:r>
    </w:p>
    <w:p w:rsidR="007732E8" w:rsidRPr="007732E8" w:rsidRDefault="007732E8" w:rsidP="007732E8">
      <w:pPr>
        <w:spacing w:after="0" w:line="360" w:lineRule="auto"/>
        <w:jc w:val="both"/>
        <w:rPr>
          <w:rFonts w:ascii="Times New Roman" w:eastAsia="Calibri" w:hAnsi="Times New Roman" w:cs="Times New Roman"/>
          <w:b/>
          <w:sz w:val="28"/>
          <w:szCs w:val="28"/>
        </w:rPr>
      </w:pPr>
      <w:r w:rsidRPr="007732E8">
        <w:rPr>
          <w:rFonts w:ascii="Times New Roman" w:eastAsia="Calibri" w:hAnsi="Times New Roman" w:cs="Times New Roman"/>
          <w:sz w:val="28"/>
          <w:szCs w:val="28"/>
        </w:rPr>
        <w:t>Свертывающей система крови у исследуемых из высокогорье отличались высокими показателями, в сторону повышенной активности.</w:t>
      </w:r>
    </w:p>
    <w:p w:rsidR="008A2F75" w:rsidRDefault="008A2F75" w:rsidP="007732E8">
      <w:pPr>
        <w:spacing w:after="0" w:line="360" w:lineRule="auto"/>
        <w:jc w:val="both"/>
        <w:rPr>
          <w:rFonts w:ascii="Times New Roman" w:eastAsia="Calibri" w:hAnsi="Times New Roman" w:cs="Times New Roman"/>
          <w:b/>
          <w:sz w:val="28"/>
          <w:szCs w:val="28"/>
        </w:rPr>
      </w:pPr>
    </w:p>
    <w:p w:rsidR="007732E8" w:rsidRDefault="004A6EC8" w:rsidP="007732E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w:t>
      </w:r>
      <w:r w:rsidR="007732E8" w:rsidRPr="007732E8">
        <w:rPr>
          <w:rFonts w:ascii="Times New Roman" w:eastAsia="Calibri" w:hAnsi="Times New Roman" w:cs="Times New Roman"/>
          <w:sz w:val="28"/>
          <w:szCs w:val="28"/>
        </w:rPr>
        <w:t>3.2.6.1</w:t>
      </w:r>
      <w:r>
        <w:rPr>
          <w:rFonts w:ascii="Times New Roman" w:eastAsia="Calibri" w:hAnsi="Times New Roman" w:cs="Times New Roman"/>
          <w:sz w:val="28"/>
          <w:szCs w:val="28"/>
        </w:rPr>
        <w:t xml:space="preserve"> ‒</w:t>
      </w:r>
      <w:r w:rsidR="007732E8" w:rsidRPr="007732E8">
        <w:rPr>
          <w:rFonts w:ascii="Times New Roman" w:eastAsia="Calibri" w:hAnsi="Times New Roman" w:cs="Times New Roman"/>
          <w:sz w:val="28"/>
          <w:szCs w:val="28"/>
        </w:rPr>
        <w:t xml:space="preserve"> Сравнительная характеристика показателей свертывающей системы крови у пациентов с </w:t>
      </w:r>
      <w:r w:rsidR="007732E8" w:rsidRPr="007732E8">
        <w:rPr>
          <w:rFonts w:ascii="Times New Roman" w:eastAsia="Calibri" w:hAnsi="Times New Roman" w:cs="Times New Roman"/>
          <w:sz w:val="28"/>
          <w:szCs w:val="28"/>
          <w:lang w:val="en-US"/>
        </w:rPr>
        <w:t>COVID</w:t>
      </w:r>
      <w:r w:rsidR="007732E8" w:rsidRPr="007732E8">
        <w:rPr>
          <w:rFonts w:ascii="Times New Roman" w:eastAsia="Calibri" w:hAnsi="Times New Roman" w:cs="Times New Roman"/>
          <w:sz w:val="28"/>
          <w:szCs w:val="28"/>
        </w:rPr>
        <w:t>-19  в условия</w:t>
      </w:r>
      <w:r>
        <w:rPr>
          <w:rFonts w:ascii="Times New Roman" w:eastAsia="Calibri" w:hAnsi="Times New Roman" w:cs="Times New Roman"/>
          <w:sz w:val="28"/>
          <w:szCs w:val="28"/>
        </w:rPr>
        <w:t>х низко-, средне- и высокогорья</w:t>
      </w:r>
    </w:p>
    <w:tbl>
      <w:tblPr>
        <w:tblStyle w:val="a3"/>
        <w:tblW w:w="0" w:type="auto"/>
        <w:tblLook w:val="04A0" w:firstRow="1" w:lastRow="0" w:firstColumn="1" w:lastColumn="0" w:noHBand="0" w:noVBand="1"/>
      </w:tblPr>
      <w:tblGrid>
        <w:gridCol w:w="749"/>
        <w:gridCol w:w="2335"/>
        <w:gridCol w:w="1640"/>
        <w:gridCol w:w="1731"/>
        <w:gridCol w:w="1779"/>
        <w:gridCol w:w="1533"/>
      </w:tblGrid>
      <w:tr w:rsidR="004A6EC8" w:rsidTr="00E403AA">
        <w:tc>
          <w:tcPr>
            <w:tcW w:w="749"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w:t>
            </w:r>
          </w:p>
        </w:tc>
        <w:tc>
          <w:tcPr>
            <w:tcW w:w="2335"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Показатель</w:t>
            </w:r>
          </w:p>
        </w:tc>
        <w:tc>
          <w:tcPr>
            <w:tcW w:w="1640"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Низкогорье</w:t>
            </w:r>
          </w:p>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w:t>
            </w:r>
            <w:r w:rsidRPr="007732E8">
              <w:rPr>
                <w:rFonts w:ascii="Times New Roman" w:hAnsi="Times New Roman"/>
                <w:sz w:val="28"/>
                <w:szCs w:val="28"/>
                <w:lang w:val="en-US"/>
              </w:rPr>
              <w:t>n</w:t>
            </w:r>
            <w:r w:rsidRPr="007732E8">
              <w:rPr>
                <w:rFonts w:ascii="Times New Roman" w:hAnsi="Times New Roman"/>
                <w:sz w:val="28"/>
                <w:szCs w:val="28"/>
              </w:rPr>
              <w:t>=200)</w:t>
            </w:r>
          </w:p>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lang w:val="en-US"/>
              </w:rPr>
              <w:t>a</w:t>
            </w:r>
          </w:p>
        </w:tc>
        <w:tc>
          <w:tcPr>
            <w:tcW w:w="1731"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Среднегорье</w:t>
            </w:r>
          </w:p>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w:t>
            </w:r>
            <w:r w:rsidRPr="007732E8">
              <w:rPr>
                <w:rFonts w:ascii="Times New Roman" w:hAnsi="Times New Roman"/>
                <w:sz w:val="28"/>
                <w:szCs w:val="28"/>
                <w:lang w:val="en-US"/>
              </w:rPr>
              <w:t>n</w:t>
            </w:r>
            <w:r w:rsidRPr="007732E8">
              <w:rPr>
                <w:rFonts w:ascii="Times New Roman" w:hAnsi="Times New Roman"/>
                <w:sz w:val="28"/>
                <w:szCs w:val="28"/>
              </w:rPr>
              <w:t>=200)</w:t>
            </w:r>
          </w:p>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lang w:val="en-US"/>
              </w:rPr>
              <w:t>b</w:t>
            </w:r>
          </w:p>
        </w:tc>
        <w:tc>
          <w:tcPr>
            <w:tcW w:w="1779"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Высокогорье</w:t>
            </w:r>
          </w:p>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w:t>
            </w:r>
            <w:r w:rsidRPr="007732E8">
              <w:rPr>
                <w:rFonts w:ascii="Times New Roman" w:hAnsi="Times New Roman"/>
                <w:sz w:val="28"/>
                <w:szCs w:val="28"/>
                <w:lang w:val="en-US"/>
              </w:rPr>
              <w:t>n</w:t>
            </w:r>
            <w:r w:rsidRPr="007732E8">
              <w:rPr>
                <w:rFonts w:ascii="Times New Roman" w:hAnsi="Times New Roman"/>
                <w:sz w:val="28"/>
                <w:szCs w:val="28"/>
              </w:rPr>
              <w:t>=200)</w:t>
            </w:r>
          </w:p>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lang w:val="en-US"/>
              </w:rPr>
              <w:t>c</w:t>
            </w:r>
          </w:p>
        </w:tc>
        <w:tc>
          <w:tcPr>
            <w:tcW w:w="1533"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lang w:val="en-US"/>
              </w:rPr>
              <w:t>p</w:t>
            </w:r>
          </w:p>
        </w:tc>
      </w:tr>
      <w:tr w:rsidR="004A6EC8" w:rsidRPr="000D1F9B" w:rsidTr="00E403AA">
        <w:tc>
          <w:tcPr>
            <w:tcW w:w="749"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1</w:t>
            </w:r>
          </w:p>
        </w:tc>
        <w:tc>
          <w:tcPr>
            <w:tcW w:w="2335"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Тромбоциты (10^9/л)</w:t>
            </w:r>
          </w:p>
        </w:tc>
        <w:tc>
          <w:tcPr>
            <w:tcW w:w="1640"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259.7±1.819</w:t>
            </w:r>
          </w:p>
        </w:tc>
        <w:tc>
          <w:tcPr>
            <w:tcW w:w="1731"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261.2±1.799</w:t>
            </w:r>
          </w:p>
        </w:tc>
        <w:tc>
          <w:tcPr>
            <w:tcW w:w="1779"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275.9±0.926</w:t>
            </w:r>
          </w:p>
        </w:tc>
        <w:tc>
          <w:tcPr>
            <w:tcW w:w="1533" w:type="dxa"/>
            <w:vAlign w:val="center"/>
          </w:tcPr>
          <w:p w:rsidR="004A6EC8" w:rsidRPr="007732E8" w:rsidRDefault="004A6EC8"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p(a\b)-0.2</w:t>
            </w:r>
          </w:p>
          <w:p w:rsidR="004A6EC8" w:rsidRPr="007732E8" w:rsidRDefault="004A6EC8"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4A6EC8" w:rsidRPr="007732E8" w:rsidRDefault="004A6EC8"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4A6EC8" w:rsidRPr="000D1F9B" w:rsidTr="00E403AA">
        <w:tc>
          <w:tcPr>
            <w:tcW w:w="749"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2</w:t>
            </w:r>
          </w:p>
        </w:tc>
        <w:tc>
          <w:tcPr>
            <w:tcW w:w="2335"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АЧТВ (сек)</w:t>
            </w:r>
          </w:p>
        </w:tc>
        <w:tc>
          <w:tcPr>
            <w:tcW w:w="1640"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46.8±0.1136</w:t>
            </w:r>
          </w:p>
        </w:tc>
        <w:tc>
          <w:tcPr>
            <w:tcW w:w="1731"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47.1±0.1219</w:t>
            </w:r>
          </w:p>
        </w:tc>
        <w:tc>
          <w:tcPr>
            <w:tcW w:w="1779"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50.3±0.1327</w:t>
            </w:r>
          </w:p>
        </w:tc>
        <w:tc>
          <w:tcPr>
            <w:tcW w:w="1533" w:type="dxa"/>
            <w:vAlign w:val="center"/>
          </w:tcPr>
          <w:p w:rsidR="004A6EC8" w:rsidRPr="007732E8" w:rsidRDefault="004A6EC8"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p(a\b)-0.07</w:t>
            </w:r>
          </w:p>
          <w:p w:rsidR="004A6EC8" w:rsidRPr="007732E8" w:rsidRDefault="004A6EC8"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4A6EC8" w:rsidRPr="007732E8" w:rsidRDefault="004A6EC8"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4A6EC8" w:rsidRPr="000D1F9B" w:rsidTr="00E403AA">
        <w:tc>
          <w:tcPr>
            <w:tcW w:w="749"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4</w:t>
            </w:r>
          </w:p>
        </w:tc>
        <w:tc>
          <w:tcPr>
            <w:tcW w:w="2335"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ПТВ(сек)</w:t>
            </w:r>
          </w:p>
        </w:tc>
        <w:tc>
          <w:tcPr>
            <w:tcW w:w="1640"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14.3±0.0142</w:t>
            </w:r>
          </w:p>
        </w:tc>
        <w:tc>
          <w:tcPr>
            <w:tcW w:w="1731"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15.1±0.0237</w:t>
            </w:r>
          </w:p>
        </w:tc>
        <w:tc>
          <w:tcPr>
            <w:tcW w:w="1779" w:type="dxa"/>
            <w:vAlign w:val="center"/>
          </w:tcPr>
          <w:p w:rsidR="004A6EC8" w:rsidRPr="007732E8" w:rsidRDefault="004A6EC8" w:rsidP="00EB2490">
            <w:pPr>
              <w:spacing w:line="360" w:lineRule="auto"/>
              <w:jc w:val="center"/>
              <w:rPr>
                <w:rFonts w:ascii="Times New Roman" w:hAnsi="Times New Roman"/>
                <w:sz w:val="28"/>
                <w:szCs w:val="28"/>
              </w:rPr>
            </w:pPr>
            <w:r w:rsidRPr="007732E8">
              <w:rPr>
                <w:rFonts w:ascii="Times New Roman" w:hAnsi="Times New Roman"/>
                <w:sz w:val="28"/>
                <w:szCs w:val="28"/>
              </w:rPr>
              <w:t>12.7±0.0173</w:t>
            </w:r>
          </w:p>
        </w:tc>
        <w:tc>
          <w:tcPr>
            <w:tcW w:w="1533" w:type="dxa"/>
            <w:vAlign w:val="center"/>
          </w:tcPr>
          <w:p w:rsidR="004A6EC8" w:rsidRPr="007732E8" w:rsidRDefault="004A6EC8"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4A6EC8" w:rsidRPr="007732E8" w:rsidRDefault="004A6EC8"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4A6EC8" w:rsidRPr="007732E8" w:rsidRDefault="004A6EC8"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bl>
    <w:p w:rsidR="004A6EC8" w:rsidRPr="00EB2490" w:rsidRDefault="004A6EC8" w:rsidP="007732E8">
      <w:pPr>
        <w:spacing w:after="0" w:line="360" w:lineRule="auto"/>
        <w:jc w:val="both"/>
        <w:rPr>
          <w:rFonts w:ascii="Times New Roman" w:eastAsia="Calibri" w:hAnsi="Times New Roman" w:cs="Times New Roman"/>
          <w:sz w:val="28"/>
          <w:szCs w:val="28"/>
          <w:lang w:val="en-US"/>
        </w:rPr>
      </w:pPr>
    </w:p>
    <w:p w:rsidR="00E403AA" w:rsidRPr="00E403AA" w:rsidRDefault="00E403AA" w:rsidP="00E403AA">
      <w:pPr>
        <w:spacing w:after="0" w:line="360" w:lineRule="auto"/>
        <w:jc w:val="right"/>
        <w:rPr>
          <w:rFonts w:ascii="Times New Roman" w:eastAsia="Calibri" w:hAnsi="Times New Roman" w:cs="Times New Roman"/>
          <w:i/>
          <w:sz w:val="28"/>
          <w:szCs w:val="28"/>
        </w:rPr>
      </w:pPr>
      <w:r w:rsidRPr="00E403AA">
        <w:rPr>
          <w:rFonts w:ascii="Times New Roman" w:eastAsia="Calibri" w:hAnsi="Times New Roman" w:cs="Times New Roman"/>
          <w:i/>
          <w:sz w:val="28"/>
          <w:szCs w:val="28"/>
        </w:rPr>
        <w:t>Продолжение таблицы 3.2.6.1</w:t>
      </w:r>
    </w:p>
    <w:tbl>
      <w:tblPr>
        <w:tblStyle w:val="a3"/>
        <w:tblW w:w="0" w:type="auto"/>
        <w:tblLook w:val="04A0" w:firstRow="1" w:lastRow="0" w:firstColumn="1" w:lastColumn="0" w:noHBand="0" w:noVBand="1"/>
      </w:tblPr>
      <w:tblGrid>
        <w:gridCol w:w="752"/>
        <w:gridCol w:w="2332"/>
        <w:gridCol w:w="1640"/>
        <w:gridCol w:w="1730"/>
        <w:gridCol w:w="1778"/>
        <w:gridCol w:w="1533"/>
      </w:tblGrid>
      <w:tr w:rsidR="00E403AA" w:rsidRPr="000D1F9B" w:rsidTr="00E403AA">
        <w:tc>
          <w:tcPr>
            <w:tcW w:w="752"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5</w:t>
            </w:r>
          </w:p>
        </w:tc>
        <w:tc>
          <w:tcPr>
            <w:tcW w:w="2332"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МНО (МЕ)</w:t>
            </w:r>
          </w:p>
        </w:tc>
        <w:tc>
          <w:tcPr>
            <w:tcW w:w="1640"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1.37±0.1083</w:t>
            </w:r>
          </w:p>
        </w:tc>
        <w:tc>
          <w:tcPr>
            <w:tcW w:w="1730"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1.56±0.1134</w:t>
            </w:r>
          </w:p>
        </w:tc>
        <w:tc>
          <w:tcPr>
            <w:tcW w:w="1778"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1.72±0.0261</w:t>
            </w:r>
          </w:p>
        </w:tc>
        <w:tc>
          <w:tcPr>
            <w:tcW w:w="1533" w:type="dxa"/>
            <w:vAlign w:val="center"/>
          </w:tcPr>
          <w:p w:rsidR="00E403AA" w:rsidRPr="007732E8" w:rsidRDefault="00E403AA"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p(a\b)-0.2</w:t>
            </w:r>
          </w:p>
          <w:p w:rsidR="00E403AA" w:rsidRPr="007732E8" w:rsidRDefault="00E403AA"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lastRenderedPageBreak/>
              <w:t>p(b\c)-0.34</w:t>
            </w:r>
          </w:p>
          <w:p w:rsidR="00E403AA" w:rsidRPr="007732E8" w:rsidRDefault="00E403AA"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E403AA" w:rsidRPr="000D1F9B" w:rsidTr="00E403AA">
        <w:tc>
          <w:tcPr>
            <w:tcW w:w="752"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lastRenderedPageBreak/>
              <w:t>6</w:t>
            </w:r>
          </w:p>
        </w:tc>
        <w:tc>
          <w:tcPr>
            <w:tcW w:w="2332"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Тромбиновое время (сек)</w:t>
            </w:r>
          </w:p>
        </w:tc>
        <w:tc>
          <w:tcPr>
            <w:tcW w:w="1640"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15.7±0.1216</w:t>
            </w:r>
          </w:p>
        </w:tc>
        <w:tc>
          <w:tcPr>
            <w:tcW w:w="1730"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14.9±0.1372</w:t>
            </w:r>
          </w:p>
        </w:tc>
        <w:tc>
          <w:tcPr>
            <w:tcW w:w="1778"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12.7±0.1293</w:t>
            </w:r>
          </w:p>
        </w:tc>
        <w:tc>
          <w:tcPr>
            <w:tcW w:w="1533" w:type="dxa"/>
            <w:vAlign w:val="center"/>
          </w:tcPr>
          <w:p w:rsidR="00E403AA" w:rsidRPr="007732E8" w:rsidRDefault="00E403AA"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E403AA" w:rsidRPr="007732E8" w:rsidRDefault="00E403AA"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E403AA" w:rsidRPr="007732E8" w:rsidRDefault="00E403AA"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E403AA" w:rsidRPr="000D1F9B" w:rsidTr="00E403AA">
        <w:tc>
          <w:tcPr>
            <w:tcW w:w="752"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7</w:t>
            </w:r>
          </w:p>
        </w:tc>
        <w:tc>
          <w:tcPr>
            <w:tcW w:w="2332"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Д-димер (нг/л)</w:t>
            </w:r>
          </w:p>
        </w:tc>
        <w:tc>
          <w:tcPr>
            <w:tcW w:w="1640"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164.9±1.179</w:t>
            </w:r>
          </w:p>
        </w:tc>
        <w:tc>
          <w:tcPr>
            <w:tcW w:w="1730"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153.2±0.241</w:t>
            </w:r>
          </w:p>
        </w:tc>
        <w:tc>
          <w:tcPr>
            <w:tcW w:w="1778"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170.4±1.319</w:t>
            </w:r>
          </w:p>
        </w:tc>
        <w:tc>
          <w:tcPr>
            <w:tcW w:w="1533" w:type="dxa"/>
            <w:vAlign w:val="center"/>
          </w:tcPr>
          <w:p w:rsidR="00E403AA" w:rsidRPr="007732E8" w:rsidRDefault="00E403AA"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p(a\b)˂0.05</w:t>
            </w:r>
          </w:p>
          <w:p w:rsidR="00E403AA" w:rsidRPr="007732E8" w:rsidRDefault="00E403AA"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E403AA" w:rsidRPr="004A6EC8" w:rsidRDefault="00E403AA"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r w:rsidR="00E403AA" w:rsidRPr="000D1F9B" w:rsidTr="00E403AA">
        <w:tc>
          <w:tcPr>
            <w:tcW w:w="752"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8</w:t>
            </w:r>
          </w:p>
        </w:tc>
        <w:tc>
          <w:tcPr>
            <w:tcW w:w="2332"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Фибриноген (г/л)</w:t>
            </w:r>
          </w:p>
        </w:tc>
        <w:tc>
          <w:tcPr>
            <w:tcW w:w="1640"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3.27±0.0051</w:t>
            </w:r>
          </w:p>
        </w:tc>
        <w:tc>
          <w:tcPr>
            <w:tcW w:w="1730"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3.97±0.0072</w:t>
            </w:r>
          </w:p>
        </w:tc>
        <w:tc>
          <w:tcPr>
            <w:tcW w:w="1778" w:type="dxa"/>
            <w:vAlign w:val="center"/>
          </w:tcPr>
          <w:p w:rsidR="00E403AA" w:rsidRPr="007732E8" w:rsidRDefault="00E403AA" w:rsidP="00EB2490">
            <w:pPr>
              <w:spacing w:line="360" w:lineRule="auto"/>
              <w:jc w:val="center"/>
              <w:rPr>
                <w:rFonts w:ascii="Times New Roman" w:hAnsi="Times New Roman"/>
                <w:sz w:val="28"/>
                <w:szCs w:val="28"/>
              </w:rPr>
            </w:pPr>
            <w:r w:rsidRPr="007732E8">
              <w:rPr>
                <w:rFonts w:ascii="Times New Roman" w:hAnsi="Times New Roman"/>
                <w:sz w:val="28"/>
                <w:szCs w:val="28"/>
              </w:rPr>
              <w:t>4.18±0.0107</w:t>
            </w:r>
          </w:p>
        </w:tc>
        <w:tc>
          <w:tcPr>
            <w:tcW w:w="1533" w:type="dxa"/>
            <w:vAlign w:val="center"/>
          </w:tcPr>
          <w:p w:rsidR="00E403AA" w:rsidRPr="007732E8" w:rsidRDefault="00E403AA"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p(a\b)-0.06</w:t>
            </w:r>
          </w:p>
          <w:p w:rsidR="00E403AA" w:rsidRPr="007732E8" w:rsidRDefault="00E403AA"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p(b\c)˂0.05</w:t>
            </w:r>
          </w:p>
          <w:p w:rsidR="00E403AA" w:rsidRPr="007732E8" w:rsidRDefault="00E403AA" w:rsidP="00EB2490">
            <w:pPr>
              <w:spacing w:line="360" w:lineRule="auto"/>
              <w:jc w:val="center"/>
              <w:rPr>
                <w:rFonts w:ascii="Times New Roman" w:hAnsi="Times New Roman"/>
                <w:sz w:val="28"/>
                <w:szCs w:val="28"/>
                <w:lang w:val="en-US"/>
              </w:rPr>
            </w:pPr>
            <w:r w:rsidRPr="007732E8">
              <w:rPr>
                <w:rFonts w:ascii="Times New Roman" w:hAnsi="Times New Roman"/>
                <w:sz w:val="28"/>
                <w:szCs w:val="28"/>
                <w:lang w:val="en-US"/>
              </w:rPr>
              <w:t>p(a\c)˂0.05</w:t>
            </w:r>
          </w:p>
        </w:tc>
      </w:tr>
    </w:tbl>
    <w:p w:rsidR="00E403AA" w:rsidRPr="004A6EC8" w:rsidRDefault="00E403AA" w:rsidP="00E403AA">
      <w:pPr>
        <w:spacing w:after="0" w:line="360" w:lineRule="auto"/>
        <w:jc w:val="both"/>
        <w:rPr>
          <w:rFonts w:ascii="Times New Roman" w:eastAsia="Calibri" w:hAnsi="Times New Roman" w:cs="Times New Roman"/>
          <w:b/>
          <w:sz w:val="28"/>
          <w:szCs w:val="28"/>
          <w:lang w:val="en-US"/>
        </w:rPr>
      </w:pPr>
    </w:p>
    <w:p w:rsidR="007732E8" w:rsidRPr="007732E8" w:rsidRDefault="007732E8" w:rsidP="008A2F75">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Так базовые показатели тромбоцитов превосходит остальные когорты, что свидетельствуют о активности первого этапа свёртывающего каскада в сосудистом русле. Оценивая скорость  свертывающей способности, было выявлено, более быстрая реакция внутреннего пути свёртывания. Так АЧТВ имеет более высокие значения, тогда как ПТВ наиболее быстрый в высокогорном регионе. Дополнение к вышеизложенным показателям, МНО также проявило относительную активность в высокогорье. Учитывая вышесказанное, закономерным завершением свертывающего каскада явилось изменения фибриногена с превосходящими значениями в группе высокогорья, тогда как разница между среднегорьем и низкогорьем, оставались несущественными. </w:t>
      </w:r>
    </w:p>
    <w:p w:rsidR="007732E8" w:rsidRPr="007732E8" w:rsidRDefault="007732E8" w:rsidP="008A2F75">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Отдельное внимание требует показатели реканализации тромбов в сосудистом русле, важно отметить повышение уровня Д – димера в когорте высокогорья.</w:t>
      </w: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Calibri" w:eastAsia="Calibri" w:hAnsi="Calibri" w:cs="Times New Roman"/>
          <w:noProof/>
          <w:lang w:eastAsia="ru-RU"/>
        </w:rPr>
        <w:lastRenderedPageBreak/>
        <w:drawing>
          <wp:inline distT="0" distB="0" distL="0" distR="0" wp14:anchorId="4C6C3E1E" wp14:editId="6F97D7D7">
            <wp:extent cx="5128035" cy="3372592"/>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l="21040" t="10181" r="21568" b="18997"/>
                    <a:stretch>
                      <a:fillRect/>
                    </a:stretch>
                  </pic:blipFill>
                  <pic:spPr bwMode="auto">
                    <a:xfrm>
                      <a:off x="0" y="0"/>
                      <a:ext cx="5132438" cy="3375488"/>
                    </a:xfrm>
                    <a:prstGeom prst="rect">
                      <a:avLst/>
                    </a:prstGeom>
                    <a:noFill/>
                    <a:ln>
                      <a:noFill/>
                    </a:ln>
                  </pic:spPr>
                </pic:pic>
              </a:graphicData>
            </a:graphic>
          </wp:inline>
        </w:drawing>
      </w:r>
    </w:p>
    <w:p w:rsidR="007732E8" w:rsidRPr="007732E8" w:rsidRDefault="007732E8" w:rsidP="008A2F75">
      <w:pPr>
        <w:spacing w:after="0" w:line="360" w:lineRule="auto"/>
        <w:jc w:val="center"/>
        <w:rPr>
          <w:rFonts w:ascii="Times New Roman" w:eastAsia="Calibri" w:hAnsi="Times New Roman" w:cs="Times New Roman"/>
          <w:sz w:val="28"/>
          <w:szCs w:val="28"/>
        </w:rPr>
      </w:pPr>
      <w:r w:rsidRPr="007732E8">
        <w:rPr>
          <w:rFonts w:ascii="Times New Roman" w:eastAsia="Calibri" w:hAnsi="Times New Roman" w:cs="Times New Roman"/>
          <w:sz w:val="28"/>
          <w:szCs w:val="28"/>
        </w:rPr>
        <w:t>Рисунок 3.2.6.1</w:t>
      </w:r>
      <w:r w:rsidR="00E403AA">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Динамика изменений показателей свертывающей системы крови в период заболевания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 у исследуемых групп.</w:t>
      </w: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8A2F75">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Значение свертывающей системы крови у исследуемых групп, в динамике, показали картину «горбатого»</w:t>
      </w:r>
      <w:r w:rsidR="00E403AA">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изменения показателей. Так, в момент обращения, свертывающая системы активней всего проявилась у исследуемых из  высокогорной группы, после среднегорный и далее низкогорной. Данная тенденция сохранялась до пятых суток. На пятые сутки наблюдения, показатели АЧТВ среднегорье были снижены относительно низкого рного региона, а показатели высоко – и низкогорья остались стабильные относительно друг друга. Далее во всех группах наблюдалось снижение значений до референсного времени. </w:t>
      </w:r>
    </w:p>
    <w:p w:rsidR="007732E8" w:rsidRPr="007732E8" w:rsidRDefault="007732E8" w:rsidP="008A2F75">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ПТВ - проявлял свою повышенную активность в среднегорном регионе относительно других когорт. Данное распределение сохранится до момента выздоровления в исследуемой группах. D-димер, проявил свою наивысшую активность в высокогорном регионе, со схожестью с АЧТВ, с динамикой роста показателей до третьих суток с последующей регрессией до референса на седьмые сутки наблюдения. </w:t>
      </w:r>
    </w:p>
    <w:p w:rsidR="007732E8" w:rsidRPr="007732E8" w:rsidRDefault="007732E8" w:rsidP="008A2F75">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lastRenderedPageBreak/>
        <w:t>Общая динамика, выше описанных показателей имела тенденцию к росту показателей до третьих суток, что связано с первичной реакцией на COVID-19, с последующей стабилизацией функций свертывающей системы во всех исследуемых группах.</w:t>
      </w:r>
    </w:p>
    <w:p w:rsidR="008A2F75" w:rsidRDefault="008A2F75" w:rsidP="008A2F75">
      <w:pPr>
        <w:spacing w:after="0" w:line="360" w:lineRule="auto"/>
        <w:ind w:firstLine="709"/>
        <w:jc w:val="both"/>
        <w:rPr>
          <w:rFonts w:ascii="Times New Roman" w:eastAsia="Calibri" w:hAnsi="Times New Roman" w:cs="Times New Roman"/>
          <w:b/>
          <w:sz w:val="28"/>
          <w:szCs w:val="28"/>
        </w:rPr>
      </w:pPr>
    </w:p>
    <w:p w:rsidR="007732E8" w:rsidRPr="007732E8" w:rsidRDefault="007732E8" w:rsidP="008A2F75">
      <w:pPr>
        <w:spacing w:after="0" w:line="360" w:lineRule="auto"/>
        <w:ind w:firstLine="709"/>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3.2.7. Рентгенологические изменения органов грудной клетки в исследуемых регионах. </w:t>
      </w:r>
    </w:p>
    <w:p w:rsidR="007732E8" w:rsidRPr="00E403AA" w:rsidRDefault="007732E8" w:rsidP="007732E8">
      <w:pPr>
        <w:spacing w:after="0" w:line="360" w:lineRule="auto"/>
        <w:jc w:val="center"/>
        <w:rPr>
          <w:rFonts w:ascii="Times New Roman" w:eastAsia="Calibri" w:hAnsi="Times New Roman" w:cs="Times New Roman"/>
          <w:color w:val="FFFFFF" w:themeColor="background1"/>
          <w:sz w:val="28"/>
          <w:szCs w:val="28"/>
        </w:rPr>
      </w:pPr>
      <w:r w:rsidRPr="00E403AA">
        <w:rPr>
          <w:rFonts w:ascii="Calibri" w:eastAsia="Calibri" w:hAnsi="Calibri" w:cs="Times New Roman"/>
          <w:noProof/>
          <w:lang w:eastAsia="ru-RU"/>
        </w:rPr>
        <w:drawing>
          <wp:inline distT="0" distB="0" distL="0" distR="0" wp14:anchorId="295854EB" wp14:editId="3CBE8746">
            <wp:extent cx="6134100" cy="3299460"/>
            <wp:effectExtent l="0" t="0" r="19050" b="152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Times New Roman" w:eastAsia="Calibri" w:hAnsi="Times New Roman" w:cs="Times New Roman"/>
          <w:sz w:val="28"/>
          <w:szCs w:val="28"/>
        </w:rPr>
        <w:t>Рисунок 3.2.7.1</w:t>
      </w:r>
      <w:r w:rsidR="00E403AA">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Процентное соотношение рентгенологических изменений у исследуемых групп.</w:t>
      </w: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E403AA" w:rsidRDefault="007732E8" w:rsidP="008A2F75">
      <w:pPr>
        <w:spacing w:after="0" w:line="360" w:lineRule="auto"/>
        <w:ind w:firstLine="709"/>
        <w:jc w:val="both"/>
        <w:rPr>
          <w:rFonts w:ascii="Times New Roman" w:eastAsia="Calibri" w:hAnsi="Times New Roman" w:cs="Times New Roman"/>
          <w:spacing w:val="-6"/>
          <w:sz w:val="28"/>
          <w:szCs w:val="28"/>
        </w:rPr>
      </w:pPr>
      <w:r w:rsidRPr="00E403AA">
        <w:rPr>
          <w:rFonts w:ascii="Times New Roman" w:eastAsia="Calibri" w:hAnsi="Times New Roman" w:cs="Times New Roman"/>
          <w:spacing w:val="-6"/>
          <w:sz w:val="28"/>
          <w:szCs w:val="28"/>
        </w:rPr>
        <w:t xml:space="preserve">Инструментальный характеристика исследуемых групп, выявляли путём рентгенограммы. На обзорных рентгенограммах выявлены инфильтративный изменения встречающиеся чаще у исследуемых из высокогорного региона относительно низко – и среднегорья. Разница же у других исследуемых когорт, проявилось незначительно. Затемнение полей по типу матового стекла, выявлено в 22,4% высокогорье что сравнимо ниже 18,2% и 15,7% у исследуемых из низко – и среднегорья. Это свидетельствует о более высоком темпе прогрессирования поражения паренхимы лёгких в высокогорном климате. Усиление легочного рисунка, встречалось 15,4% случаев из выборки высокогорного региона, тогда как </w:t>
      </w:r>
      <w:r w:rsidRPr="00E403AA">
        <w:rPr>
          <w:rFonts w:ascii="Times New Roman" w:eastAsia="Calibri" w:hAnsi="Times New Roman" w:cs="Times New Roman"/>
          <w:spacing w:val="-6"/>
          <w:sz w:val="28"/>
          <w:szCs w:val="28"/>
        </w:rPr>
        <w:lastRenderedPageBreak/>
        <w:t xml:space="preserve">низкогорье данные изменения проявлялось лишь 12,9%; и 10,7% в среднегорье соответственно. Отличительным маркером, процесса поражения лёгких, является процент поражения: так высокогорном регионе в среднем было выявлено 27,4±0.181% поражение тогда как низкогорье – 22,3±0,217%; в среднегорье 19,4±0,327%. </w:t>
      </w:r>
    </w:p>
    <w:p w:rsidR="007732E8" w:rsidRPr="00E403AA" w:rsidRDefault="007732E8" w:rsidP="008A2F75">
      <w:pPr>
        <w:spacing w:after="0" w:line="360" w:lineRule="auto"/>
        <w:ind w:firstLine="709"/>
        <w:jc w:val="both"/>
        <w:rPr>
          <w:rFonts w:ascii="Times New Roman" w:eastAsia="Calibri" w:hAnsi="Times New Roman" w:cs="Times New Roman"/>
          <w:spacing w:val="-6"/>
          <w:sz w:val="28"/>
          <w:szCs w:val="28"/>
        </w:rPr>
      </w:pPr>
      <w:r w:rsidRPr="00E403AA">
        <w:rPr>
          <w:rFonts w:ascii="Times New Roman" w:eastAsia="Calibri" w:hAnsi="Times New Roman" w:cs="Times New Roman"/>
          <w:spacing w:val="-6"/>
          <w:sz w:val="28"/>
          <w:szCs w:val="28"/>
        </w:rPr>
        <w:t>Касательно, конфигурации сердца у исследуемых по рентгенограмме, в подавляющем большинстве случаев  описывается нормальная конфигурация. Ремаркой, данного показателя явилась описание патологическая конфигурации сердца у 8 пациентов из высокогорья, 6 из низкогорья, и 3 человек из среднегорье соответственно. Данные показатели не несут себе значимых коррекции для дальнейшего анализа общей картины механизмов патологическом процессе COVID-19. Жидкость плевральной полости выявлено всего у 3 исследуемых в сумме всех групп.</w:t>
      </w:r>
    </w:p>
    <w:p w:rsidR="007732E8" w:rsidRPr="00E403AA" w:rsidRDefault="007732E8" w:rsidP="008A2F75">
      <w:pPr>
        <w:spacing w:after="0" w:line="360" w:lineRule="auto"/>
        <w:ind w:firstLine="709"/>
        <w:jc w:val="both"/>
        <w:rPr>
          <w:rFonts w:ascii="Times New Roman" w:eastAsia="Calibri" w:hAnsi="Times New Roman" w:cs="Times New Roman"/>
          <w:b/>
          <w:spacing w:val="-6"/>
          <w:sz w:val="28"/>
          <w:szCs w:val="28"/>
        </w:rPr>
      </w:pPr>
      <w:r w:rsidRPr="00E403AA">
        <w:rPr>
          <w:rFonts w:ascii="Times New Roman" w:eastAsia="Calibri" w:hAnsi="Times New Roman" w:cs="Times New Roman"/>
          <w:b/>
          <w:spacing w:val="-6"/>
          <w:sz w:val="28"/>
          <w:szCs w:val="28"/>
        </w:rPr>
        <w:t xml:space="preserve">3.2.8. Состояние органов брюшной полости у исследуемых пациентов с </w:t>
      </w:r>
      <w:r w:rsidRPr="00E403AA">
        <w:rPr>
          <w:rFonts w:ascii="Times New Roman" w:eastAsia="Calibri" w:hAnsi="Times New Roman" w:cs="Times New Roman"/>
          <w:b/>
          <w:spacing w:val="-6"/>
          <w:sz w:val="28"/>
          <w:szCs w:val="28"/>
          <w:lang w:val="en-US"/>
        </w:rPr>
        <w:t>COVID</w:t>
      </w:r>
      <w:r w:rsidRPr="00E403AA">
        <w:rPr>
          <w:rFonts w:ascii="Times New Roman" w:eastAsia="Calibri" w:hAnsi="Times New Roman" w:cs="Times New Roman"/>
          <w:b/>
          <w:spacing w:val="-6"/>
          <w:sz w:val="28"/>
          <w:szCs w:val="28"/>
        </w:rPr>
        <w:t>-19 в условиях низко-, средне- и высокогорья.</w:t>
      </w:r>
    </w:p>
    <w:p w:rsidR="007732E8" w:rsidRPr="00E403AA" w:rsidRDefault="007732E8" w:rsidP="007732E8">
      <w:pPr>
        <w:spacing w:after="0" w:line="360" w:lineRule="auto"/>
        <w:jc w:val="both"/>
        <w:rPr>
          <w:rFonts w:ascii="Times New Roman" w:eastAsia="Calibri" w:hAnsi="Times New Roman" w:cs="Times New Roman"/>
          <w:b/>
          <w:spacing w:val="-6"/>
          <w:sz w:val="6"/>
          <w:szCs w:val="28"/>
        </w:rPr>
      </w:pPr>
    </w:p>
    <w:p w:rsidR="007732E8" w:rsidRPr="00E403AA" w:rsidRDefault="007732E8" w:rsidP="007732E8">
      <w:pPr>
        <w:spacing w:after="0" w:line="360" w:lineRule="auto"/>
        <w:rPr>
          <w:rFonts w:ascii="Times New Roman" w:eastAsia="Calibri" w:hAnsi="Times New Roman" w:cs="Times New Roman"/>
          <w:spacing w:val="-6"/>
          <w:sz w:val="28"/>
          <w:szCs w:val="28"/>
        </w:rPr>
      </w:pPr>
      <w:r w:rsidRPr="00E403AA">
        <w:rPr>
          <w:rFonts w:ascii="Calibri" w:eastAsia="Calibri" w:hAnsi="Calibri" w:cs="Times New Roman"/>
          <w:noProof/>
          <w:spacing w:val="-6"/>
          <w:lang w:eastAsia="ru-RU"/>
        </w:rPr>
        <w:drawing>
          <wp:inline distT="0" distB="0" distL="0" distR="0" wp14:anchorId="156433A7" wp14:editId="401E5167">
            <wp:extent cx="6127667" cy="2850078"/>
            <wp:effectExtent l="0" t="0" r="26035" b="2667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732E8" w:rsidRPr="00E403AA" w:rsidRDefault="007732E8" w:rsidP="007732E8">
      <w:pPr>
        <w:spacing w:after="0" w:line="360" w:lineRule="auto"/>
        <w:jc w:val="center"/>
        <w:rPr>
          <w:rFonts w:ascii="Times New Roman" w:eastAsia="Calibri" w:hAnsi="Times New Roman" w:cs="Times New Roman"/>
          <w:spacing w:val="-6"/>
          <w:sz w:val="28"/>
          <w:szCs w:val="28"/>
        </w:rPr>
      </w:pPr>
      <w:r w:rsidRPr="00E403AA">
        <w:rPr>
          <w:rFonts w:ascii="Times New Roman" w:eastAsia="Calibri" w:hAnsi="Times New Roman" w:cs="Times New Roman"/>
          <w:spacing w:val="-6"/>
          <w:sz w:val="28"/>
          <w:szCs w:val="28"/>
        </w:rPr>
        <w:t>Рисунок 3.2.8.1</w:t>
      </w:r>
      <w:r w:rsidR="00E403AA" w:rsidRPr="00E403AA">
        <w:rPr>
          <w:rFonts w:ascii="Times New Roman" w:eastAsia="Calibri" w:hAnsi="Times New Roman" w:cs="Times New Roman"/>
          <w:spacing w:val="-6"/>
          <w:sz w:val="28"/>
          <w:szCs w:val="28"/>
        </w:rPr>
        <w:t xml:space="preserve"> ‒</w:t>
      </w:r>
      <w:r w:rsidRPr="00E403AA">
        <w:rPr>
          <w:rFonts w:ascii="Times New Roman" w:eastAsia="Calibri" w:hAnsi="Times New Roman" w:cs="Times New Roman"/>
          <w:spacing w:val="-6"/>
          <w:sz w:val="28"/>
          <w:szCs w:val="28"/>
        </w:rPr>
        <w:t xml:space="preserve"> Показатели основных инструментальных данных выявленных у пациентов с </w:t>
      </w:r>
      <w:r w:rsidRPr="00E403AA">
        <w:rPr>
          <w:rFonts w:ascii="Times New Roman" w:eastAsia="Calibri" w:hAnsi="Times New Roman" w:cs="Times New Roman"/>
          <w:spacing w:val="-6"/>
          <w:sz w:val="28"/>
          <w:szCs w:val="28"/>
          <w:lang w:val="en-US"/>
        </w:rPr>
        <w:t>COVID</w:t>
      </w:r>
      <w:r w:rsidRPr="00E403AA">
        <w:rPr>
          <w:rFonts w:ascii="Times New Roman" w:eastAsia="Calibri" w:hAnsi="Times New Roman" w:cs="Times New Roman"/>
          <w:spacing w:val="-6"/>
          <w:sz w:val="28"/>
          <w:szCs w:val="28"/>
        </w:rPr>
        <w:t>-19 в условиях  низко-, средне- и высокогорья.</w:t>
      </w:r>
    </w:p>
    <w:p w:rsidR="00E403AA" w:rsidRDefault="00E403AA" w:rsidP="008A2F75">
      <w:pPr>
        <w:spacing w:after="0" w:line="360" w:lineRule="auto"/>
        <w:ind w:firstLine="709"/>
        <w:jc w:val="both"/>
        <w:rPr>
          <w:rFonts w:ascii="Times New Roman" w:eastAsia="Calibri" w:hAnsi="Times New Roman" w:cs="Times New Roman"/>
          <w:spacing w:val="-6"/>
          <w:sz w:val="28"/>
          <w:szCs w:val="28"/>
        </w:rPr>
      </w:pPr>
    </w:p>
    <w:p w:rsidR="007732E8" w:rsidRPr="00E403AA" w:rsidRDefault="007732E8" w:rsidP="008A2F75">
      <w:pPr>
        <w:spacing w:after="0" w:line="360" w:lineRule="auto"/>
        <w:ind w:firstLine="709"/>
        <w:jc w:val="both"/>
        <w:rPr>
          <w:rFonts w:ascii="Times New Roman" w:eastAsia="Calibri" w:hAnsi="Times New Roman" w:cs="Times New Roman"/>
          <w:spacing w:val="-6"/>
          <w:sz w:val="28"/>
          <w:szCs w:val="28"/>
        </w:rPr>
      </w:pPr>
      <w:r w:rsidRPr="00E403AA">
        <w:rPr>
          <w:rFonts w:ascii="Times New Roman" w:eastAsia="Calibri" w:hAnsi="Times New Roman" w:cs="Times New Roman"/>
          <w:spacing w:val="-6"/>
          <w:sz w:val="28"/>
          <w:szCs w:val="28"/>
        </w:rPr>
        <w:t xml:space="preserve">Параметры ультразвукового исследования органов брюшной полости выявлен ряд особенностей общего состояния организма пациентов с COVID-19. </w:t>
      </w:r>
      <w:r w:rsidRPr="00E403AA">
        <w:rPr>
          <w:rFonts w:ascii="Times New Roman" w:eastAsia="Calibri" w:hAnsi="Times New Roman" w:cs="Times New Roman"/>
          <w:spacing w:val="-6"/>
          <w:sz w:val="28"/>
          <w:szCs w:val="28"/>
        </w:rPr>
        <w:lastRenderedPageBreak/>
        <w:t>Так патология печени выявлены у  73,8% исследуемых из группы высокогорья, 61,4% – в низкогорье и 41,8% в среднегорье. Патологические состояния желчного пузыря у 33,8% условиях высокогорья, 25,3% – низкогорье и 21,7% – среднегорье соответственно. Патология селезёнки выявлена всего у 10 исследуемых во всех исследуемых группах. На ультразвуковой картине, была выявлено у 21,9% патологий почек у исследуемых из высокогорного региона, 13,2% у пациентов из низкогорья и 18,4% из среднегорного региона. Патологические признаки на ЭКГ, нами выявлены 27,6% из 200 следуемых из высокогорного региона, так как данной параметры не превышал 20% у остальных из исследуемых когорт.</w:t>
      </w:r>
    </w:p>
    <w:p w:rsidR="008A2F75" w:rsidRDefault="008A2F75" w:rsidP="008A2F75">
      <w:pPr>
        <w:spacing w:after="0" w:line="360" w:lineRule="auto"/>
        <w:ind w:firstLine="709"/>
        <w:jc w:val="both"/>
        <w:rPr>
          <w:rFonts w:ascii="Times New Roman" w:eastAsia="Calibri" w:hAnsi="Times New Roman" w:cs="Times New Roman"/>
          <w:b/>
          <w:sz w:val="28"/>
          <w:szCs w:val="28"/>
        </w:rPr>
      </w:pPr>
    </w:p>
    <w:p w:rsidR="007732E8" w:rsidRPr="007732E8" w:rsidRDefault="007732E8" w:rsidP="008A2F75">
      <w:pPr>
        <w:spacing w:after="0" w:line="360" w:lineRule="auto"/>
        <w:ind w:firstLine="709"/>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3.2.9.  Характеристика терапевтического подхода к </w:t>
      </w:r>
      <w:r w:rsidRPr="007732E8">
        <w:rPr>
          <w:rFonts w:ascii="Times New Roman" w:eastAsia="Calibri" w:hAnsi="Times New Roman" w:cs="Times New Roman"/>
          <w:b/>
          <w:sz w:val="28"/>
          <w:szCs w:val="28"/>
          <w:lang w:val="en-US"/>
        </w:rPr>
        <w:t>COVID</w:t>
      </w:r>
      <w:r w:rsidRPr="007732E8">
        <w:rPr>
          <w:rFonts w:ascii="Times New Roman" w:eastAsia="Calibri" w:hAnsi="Times New Roman" w:cs="Times New Roman"/>
          <w:b/>
          <w:sz w:val="28"/>
          <w:szCs w:val="28"/>
        </w:rPr>
        <w:t xml:space="preserve">-19 в условиях низко-, средне- и высокогорья. </w:t>
      </w:r>
    </w:p>
    <w:p w:rsidR="007732E8" w:rsidRPr="007732E8" w:rsidRDefault="007732E8" w:rsidP="007732E8">
      <w:pPr>
        <w:spacing w:after="0" w:line="360" w:lineRule="auto"/>
        <w:rPr>
          <w:rFonts w:ascii="Times New Roman" w:eastAsia="Calibri" w:hAnsi="Times New Roman" w:cs="Times New Roman"/>
          <w:sz w:val="28"/>
          <w:szCs w:val="28"/>
        </w:rPr>
      </w:pPr>
      <w:r w:rsidRPr="007732E8">
        <w:rPr>
          <w:rFonts w:ascii="Calibri" w:eastAsia="Calibri" w:hAnsi="Calibri" w:cs="Times New Roman"/>
          <w:noProof/>
          <w:lang w:eastAsia="ru-RU"/>
        </w:rPr>
        <w:drawing>
          <wp:inline distT="0" distB="0" distL="0" distR="0" wp14:anchorId="113DEAAA" wp14:editId="0F602A5E">
            <wp:extent cx="6127667" cy="4429496"/>
            <wp:effectExtent l="0" t="0" r="26035" b="9525"/>
            <wp:docPr id="16"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Times New Roman" w:eastAsia="Calibri" w:hAnsi="Times New Roman" w:cs="Times New Roman"/>
          <w:sz w:val="28"/>
          <w:szCs w:val="28"/>
        </w:rPr>
        <w:t>Рисунок 3.2.9.1</w:t>
      </w:r>
      <w:r w:rsidR="00E403AA">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Характеристика подходов к терапии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 в условиях  низко-, средне- и высокогорья.</w:t>
      </w: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092C84">
      <w:pPr>
        <w:spacing w:after="0" w:line="360" w:lineRule="auto"/>
        <w:ind w:firstLine="567"/>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lastRenderedPageBreak/>
        <w:t xml:space="preserve">Лечение COVID-19, в Кыргызской Республике осуществлялось на основании клинических протоколов утверждённых Министерстве Здравоохранения КР. В нашем исследовании, приводится описательная характеристика используемых подходов терапии что несёт себе информацию об эффективности усредненного подхода согласно протоколу. Так инфузионная терапия в рамках лечения COVID-19, назначалась в подавляющем большинстве случаев: высокогорье – 77,1% пациентов получила инфузионную терапию, среднегорье – 79,2% и низкогорье 87,4%. Опираясь на физиологические особенности лиц постоянно проживающих в условиях высокогорный гипоксии, мы полагаем что медицинские работники, в меньше степени прибегали к инфузионной терапии, ежели медики из других когорт. Антиагрегантной терапия, проводилась повсеместно, с преобладанием в листе назначений лечебной организаций высокогорного региона, тогда как в низко – и среднегорье ацетилсалициловой кислота применялась на 15% меньше. Антибактериальная терапия, как этап лечение средней степени тяжести COVID-19 применялась в 61,8%  из выборки высокогорного региона, тогда как в низко – и среднегорье антибиотики применялись вдвое реже, что может говорить либо о нецелесообразности их применение, либо клинических особенностях течения COVID-19 в высокогорье, что вынуждает медицинских работников прибегать к указанной терапии. Антикоагулянтная терапия, как один из патогенетических методов лечения, был применен в 31,4% высокогорной среде, тогда как в низкогорья 21,8% и в среднегорье – 24,2%, что говорит обо особенностях течения свертывающего процесса при COVID-19, которые были указаны ранее. Оксигенотерапия применялась почти в половине случаев, во всех исследуемых группах, но с оговоркой – 61,7%  у пациентов из высокогорного региона, так тогда как в низкогорье и среднегорье - вдвое меньше. </w:t>
      </w:r>
    </w:p>
    <w:p w:rsidR="007732E8" w:rsidRDefault="007732E8" w:rsidP="00092C84">
      <w:pPr>
        <w:spacing w:after="0" w:line="360" w:lineRule="auto"/>
        <w:ind w:firstLine="567"/>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Процентные данные в применении симптоматической терапии, не имели существенной разницы, и использовались повсеместно. Отличительной чертой общей терапии, а именно в смене терапевтического подхода, наблюдалась </w:t>
      </w:r>
      <w:r w:rsidRPr="007732E8">
        <w:rPr>
          <w:rFonts w:ascii="Times New Roman" w:eastAsia="Calibri" w:hAnsi="Times New Roman" w:cs="Times New Roman"/>
          <w:sz w:val="28"/>
          <w:szCs w:val="28"/>
        </w:rPr>
        <w:lastRenderedPageBreak/>
        <w:t>высокогорном регионе, что свидетельствует об своеобразности течении заболевания в указанном климате. Касательно сменяемости препаратов антибактериальной терапии, нами выявлено общая частота: так среди всех исследуемых групп, смена наблюдалась в одном случае из пяти.</w:t>
      </w:r>
    </w:p>
    <w:p w:rsidR="00824D91" w:rsidRDefault="00824D91" w:rsidP="00092C84">
      <w:pPr>
        <w:spacing w:after="0" w:line="360" w:lineRule="auto"/>
        <w:ind w:firstLine="567"/>
        <w:jc w:val="both"/>
        <w:rPr>
          <w:rFonts w:ascii="Times New Roman" w:eastAsia="Calibri" w:hAnsi="Times New Roman" w:cs="Times New Roman"/>
          <w:b/>
          <w:sz w:val="28"/>
          <w:szCs w:val="28"/>
        </w:rPr>
      </w:pPr>
      <w:r w:rsidRPr="00824D91">
        <w:rPr>
          <w:rFonts w:ascii="Times New Roman" w:eastAsia="Calibri" w:hAnsi="Times New Roman" w:cs="Times New Roman"/>
          <w:b/>
          <w:sz w:val="28"/>
          <w:szCs w:val="28"/>
        </w:rPr>
        <w:t xml:space="preserve">3.2.10. Изменения ангиотензина </w:t>
      </w:r>
      <w:r w:rsidRPr="00824D91">
        <w:rPr>
          <w:rFonts w:ascii="Times New Roman" w:eastAsia="Calibri" w:hAnsi="Times New Roman" w:cs="Times New Roman"/>
          <w:b/>
          <w:sz w:val="28"/>
          <w:szCs w:val="28"/>
          <w:lang w:val="en-US"/>
        </w:rPr>
        <w:t>II</w:t>
      </w:r>
      <w:r w:rsidRPr="00824D91">
        <w:rPr>
          <w:rFonts w:ascii="Times New Roman" w:eastAsia="Calibri" w:hAnsi="Times New Roman" w:cs="Times New Roman"/>
          <w:b/>
          <w:sz w:val="28"/>
          <w:szCs w:val="28"/>
        </w:rPr>
        <w:t xml:space="preserve"> и ангиотензинпревращающего фермента 2 типа в исследуемых группах.</w:t>
      </w:r>
    </w:p>
    <w:p w:rsidR="00824D91" w:rsidRDefault="00824D91" w:rsidP="00092C84">
      <w:pPr>
        <w:spacing w:after="0" w:line="360" w:lineRule="auto"/>
        <w:ind w:firstLine="567"/>
        <w:jc w:val="both"/>
        <w:rPr>
          <w:rFonts w:ascii="Times New Roman" w:eastAsia="Calibri" w:hAnsi="Times New Roman" w:cs="Times New Roman"/>
          <w:b/>
          <w:sz w:val="28"/>
          <w:szCs w:val="28"/>
        </w:rPr>
      </w:pPr>
    </w:p>
    <w:p w:rsidR="00824D91" w:rsidRPr="00092C84" w:rsidRDefault="00824D91" w:rsidP="00092C84">
      <w:pPr>
        <w:spacing w:after="0" w:line="360" w:lineRule="auto"/>
        <w:jc w:val="both"/>
        <w:rPr>
          <w:rFonts w:ascii="Times New Roman" w:eastAsia="Calibri" w:hAnsi="Times New Roman" w:cs="Times New Roman"/>
          <w:sz w:val="28"/>
          <w:szCs w:val="28"/>
        </w:rPr>
      </w:pPr>
      <w:r w:rsidRPr="00092C84">
        <w:rPr>
          <w:rFonts w:ascii="Times New Roman" w:eastAsia="Calibri" w:hAnsi="Times New Roman" w:cs="Times New Roman"/>
          <w:sz w:val="28"/>
          <w:szCs w:val="28"/>
        </w:rPr>
        <w:t>Таблица 3.2.10.1</w:t>
      </w:r>
      <w:r w:rsidR="00092C84">
        <w:rPr>
          <w:rFonts w:ascii="Times New Roman" w:eastAsia="Calibri" w:hAnsi="Times New Roman" w:cs="Times New Roman"/>
          <w:sz w:val="28"/>
          <w:szCs w:val="28"/>
        </w:rPr>
        <w:t xml:space="preserve"> ‒</w:t>
      </w:r>
      <w:r w:rsidRPr="00092C84">
        <w:rPr>
          <w:rFonts w:ascii="Times New Roman" w:eastAsia="Calibri" w:hAnsi="Times New Roman" w:cs="Times New Roman"/>
          <w:sz w:val="28"/>
          <w:szCs w:val="28"/>
        </w:rPr>
        <w:t xml:space="preserve"> Показатели ангиотензина </w:t>
      </w:r>
      <w:r w:rsidRPr="00092C84">
        <w:rPr>
          <w:rFonts w:ascii="Times New Roman" w:eastAsia="Calibri" w:hAnsi="Times New Roman" w:cs="Times New Roman"/>
          <w:sz w:val="28"/>
          <w:szCs w:val="28"/>
          <w:lang w:val="en-US"/>
        </w:rPr>
        <w:t>II</w:t>
      </w:r>
      <w:r w:rsidRPr="00092C84">
        <w:rPr>
          <w:rFonts w:ascii="Times New Roman" w:eastAsia="Calibri" w:hAnsi="Times New Roman" w:cs="Times New Roman"/>
          <w:sz w:val="28"/>
          <w:szCs w:val="28"/>
        </w:rPr>
        <w:t xml:space="preserve"> и АПФ2 </w:t>
      </w:r>
      <w:r w:rsidR="00092C84">
        <w:rPr>
          <w:rFonts w:ascii="Times New Roman" w:eastAsia="Calibri" w:hAnsi="Times New Roman" w:cs="Times New Roman"/>
          <w:sz w:val="28"/>
          <w:szCs w:val="28"/>
        </w:rPr>
        <w:t>в исследуемых группах</w:t>
      </w:r>
    </w:p>
    <w:tbl>
      <w:tblPr>
        <w:tblStyle w:val="12"/>
        <w:tblW w:w="9742" w:type="dxa"/>
        <w:tblInd w:w="5" w:type="dxa"/>
        <w:tblLook w:val="04A0" w:firstRow="1" w:lastRow="0" w:firstColumn="1" w:lastColumn="0" w:noHBand="0" w:noVBand="1"/>
      </w:tblPr>
      <w:tblGrid>
        <w:gridCol w:w="529"/>
        <w:gridCol w:w="1842"/>
        <w:gridCol w:w="1701"/>
        <w:gridCol w:w="1812"/>
        <w:gridCol w:w="1874"/>
        <w:gridCol w:w="1984"/>
      </w:tblGrid>
      <w:tr w:rsidR="00824D91" w:rsidRPr="00824D91" w:rsidTr="00B4264C">
        <w:trPr>
          <w:trHeight w:val="1375"/>
        </w:trPr>
        <w:tc>
          <w:tcPr>
            <w:tcW w:w="529" w:type="dxa"/>
            <w:hideMark/>
          </w:tcPr>
          <w:p w:rsidR="00824D91" w:rsidRPr="00824D91" w:rsidRDefault="00824D91" w:rsidP="00092C84">
            <w:pPr>
              <w:spacing w:line="360" w:lineRule="auto"/>
              <w:ind w:hanging="5"/>
              <w:jc w:val="both"/>
              <w:rPr>
                <w:rFonts w:ascii="Times New Roman" w:hAnsi="Times New Roman"/>
                <w:bCs/>
                <w:sz w:val="28"/>
                <w:szCs w:val="28"/>
              </w:rPr>
            </w:pPr>
            <w:r w:rsidRPr="00824D91">
              <w:rPr>
                <w:rFonts w:ascii="Times New Roman" w:hAnsi="Times New Roman"/>
                <w:bCs/>
                <w:sz w:val="28"/>
                <w:szCs w:val="28"/>
              </w:rPr>
              <w:t>№</w:t>
            </w:r>
          </w:p>
        </w:tc>
        <w:tc>
          <w:tcPr>
            <w:tcW w:w="1842" w:type="dxa"/>
            <w:hideMark/>
          </w:tcPr>
          <w:p w:rsidR="00824D91" w:rsidRPr="00824D91" w:rsidRDefault="00824D91" w:rsidP="00092C84">
            <w:pPr>
              <w:spacing w:line="360" w:lineRule="auto"/>
              <w:ind w:firstLine="33"/>
              <w:jc w:val="both"/>
              <w:rPr>
                <w:rFonts w:ascii="Times New Roman" w:hAnsi="Times New Roman"/>
                <w:bCs/>
                <w:sz w:val="28"/>
                <w:szCs w:val="28"/>
              </w:rPr>
            </w:pPr>
            <w:r w:rsidRPr="00824D91">
              <w:rPr>
                <w:rFonts w:ascii="Times New Roman" w:hAnsi="Times New Roman"/>
                <w:bCs/>
                <w:sz w:val="28"/>
                <w:szCs w:val="28"/>
              </w:rPr>
              <w:t>Показатель</w:t>
            </w:r>
          </w:p>
        </w:tc>
        <w:tc>
          <w:tcPr>
            <w:tcW w:w="1701" w:type="dxa"/>
            <w:hideMark/>
          </w:tcPr>
          <w:p w:rsidR="00824D91" w:rsidRPr="00824D91" w:rsidRDefault="00824D91" w:rsidP="00B4264C">
            <w:pPr>
              <w:spacing w:line="360" w:lineRule="auto"/>
              <w:ind w:firstLine="33"/>
              <w:jc w:val="center"/>
              <w:rPr>
                <w:rFonts w:ascii="Times New Roman" w:hAnsi="Times New Roman"/>
                <w:bCs/>
                <w:sz w:val="28"/>
                <w:szCs w:val="28"/>
              </w:rPr>
            </w:pPr>
            <w:r w:rsidRPr="00824D91">
              <w:rPr>
                <w:rFonts w:ascii="Times New Roman" w:hAnsi="Times New Roman"/>
                <w:bCs/>
                <w:sz w:val="28"/>
                <w:szCs w:val="28"/>
              </w:rPr>
              <w:t>Низкогорье</w:t>
            </w:r>
          </w:p>
          <w:p w:rsidR="00824D91" w:rsidRPr="00824D91" w:rsidRDefault="00824D91" w:rsidP="00B4264C">
            <w:pPr>
              <w:spacing w:line="360" w:lineRule="auto"/>
              <w:ind w:firstLine="33"/>
              <w:jc w:val="center"/>
              <w:rPr>
                <w:rFonts w:ascii="Times New Roman" w:hAnsi="Times New Roman"/>
                <w:bCs/>
                <w:sz w:val="28"/>
                <w:szCs w:val="28"/>
              </w:rPr>
            </w:pPr>
            <w:r w:rsidRPr="00824D91">
              <w:rPr>
                <w:rFonts w:ascii="Times New Roman" w:hAnsi="Times New Roman"/>
                <w:bCs/>
                <w:sz w:val="28"/>
                <w:szCs w:val="28"/>
                <w:lang w:val="en-US"/>
              </w:rPr>
              <w:t>(n</w:t>
            </w:r>
            <w:r w:rsidRPr="00824D91">
              <w:rPr>
                <w:rFonts w:ascii="Times New Roman" w:hAnsi="Times New Roman"/>
                <w:bCs/>
                <w:sz w:val="28"/>
                <w:szCs w:val="28"/>
              </w:rPr>
              <w:t>=96</w:t>
            </w:r>
            <w:r w:rsidRPr="00824D91">
              <w:rPr>
                <w:rFonts w:ascii="Times New Roman" w:hAnsi="Times New Roman"/>
                <w:bCs/>
                <w:sz w:val="28"/>
                <w:szCs w:val="28"/>
                <w:lang w:val="en-US"/>
              </w:rPr>
              <w:t>)</w:t>
            </w:r>
          </w:p>
          <w:p w:rsidR="00824D91" w:rsidRPr="00824D91" w:rsidRDefault="00824D91" w:rsidP="00B4264C">
            <w:pPr>
              <w:spacing w:line="360" w:lineRule="auto"/>
              <w:ind w:firstLine="33"/>
              <w:jc w:val="center"/>
              <w:rPr>
                <w:rFonts w:ascii="Times New Roman" w:hAnsi="Times New Roman"/>
                <w:bCs/>
                <w:sz w:val="28"/>
                <w:szCs w:val="28"/>
              </w:rPr>
            </w:pPr>
            <w:r w:rsidRPr="00824D91">
              <w:rPr>
                <w:rFonts w:ascii="Times New Roman" w:hAnsi="Times New Roman"/>
                <w:bCs/>
                <w:sz w:val="28"/>
                <w:szCs w:val="28"/>
                <w:lang w:val="en-US"/>
              </w:rPr>
              <w:t>a</w:t>
            </w:r>
          </w:p>
        </w:tc>
        <w:tc>
          <w:tcPr>
            <w:tcW w:w="1812" w:type="dxa"/>
            <w:hideMark/>
          </w:tcPr>
          <w:p w:rsidR="00824D91" w:rsidRPr="00824D91" w:rsidRDefault="00824D91" w:rsidP="00B4264C">
            <w:pPr>
              <w:spacing w:line="360" w:lineRule="auto"/>
              <w:ind w:firstLine="33"/>
              <w:jc w:val="center"/>
              <w:rPr>
                <w:rFonts w:ascii="Times New Roman" w:hAnsi="Times New Roman"/>
                <w:bCs/>
                <w:sz w:val="28"/>
                <w:szCs w:val="28"/>
              </w:rPr>
            </w:pPr>
            <w:r w:rsidRPr="00824D91">
              <w:rPr>
                <w:rFonts w:ascii="Times New Roman" w:hAnsi="Times New Roman"/>
                <w:bCs/>
                <w:sz w:val="28"/>
                <w:szCs w:val="28"/>
              </w:rPr>
              <w:t>Среднегорье</w:t>
            </w:r>
          </w:p>
          <w:p w:rsidR="00824D91" w:rsidRPr="00824D91" w:rsidRDefault="00824D91" w:rsidP="00B4264C">
            <w:pPr>
              <w:spacing w:line="360" w:lineRule="auto"/>
              <w:ind w:firstLine="33"/>
              <w:jc w:val="center"/>
              <w:rPr>
                <w:rFonts w:ascii="Times New Roman" w:hAnsi="Times New Roman"/>
                <w:bCs/>
                <w:sz w:val="28"/>
                <w:szCs w:val="28"/>
              </w:rPr>
            </w:pPr>
            <w:r w:rsidRPr="00824D91">
              <w:rPr>
                <w:rFonts w:ascii="Times New Roman" w:hAnsi="Times New Roman"/>
                <w:bCs/>
                <w:sz w:val="28"/>
                <w:szCs w:val="28"/>
                <w:lang w:val="en-US"/>
              </w:rPr>
              <w:t>(n</w:t>
            </w:r>
            <w:r w:rsidRPr="00824D91">
              <w:rPr>
                <w:rFonts w:ascii="Times New Roman" w:hAnsi="Times New Roman"/>
                <w:bCs/>
                <w:sz w:val="28"/>
                <w:szCs w:val="28"/>
              </w:rPr>
              <w:t>=96</w:t>
            </w:r>
            <w:r w:rsidRPr="00824D91">
              <w:rPr>
                <w:rFonts w:ascii="Times New Roman" w:hAnsi="Times New Roman"/>
                <w:bCs/>
                <w:sz w:val="28"/>
                <w:szCs w:val="28"/>
                <w:lang w:val="en-US"/>
              </w:rPr>
              <w:t>)</w:t>
            </w:r>
          </w:p>
          <w:p w:rsidR="00824D91" w:rsidRPr="00824D91" w:rsidRDefault="00824D91" w:rsidP="00B4264C">
            <w:pPr>
              <w:spacing w:line="360" w:lineRule="auto"/>
              <w:ind w:firstLine="33"/>
              <w:jc w:val="center"/>
              <w:rPr>
                <w:rFonts w:ascii="Times New Roman" w:hAnsi="Times New Roman"/>
                <w:bCs/>
                <w:sz w:val="28"/>
                <w:szCs w:val="28"/>
              </w:rPr>
            </w:pPr>
            <w:r w:rsidRPr="00824D91">
              <w:rPr>
                <w:rFonts w:ascii="Times New Roman" w:hAnsi="Times New Roman"/>
                <w:bCs/>
                <w:sz w:val="28"/>
                <w:szCs w:val="28"/>
                <w:lang w:val="en-US"/>
              </w:rPr>
              <w:t>b</w:t>
            </w:r>
          </w:p>
        </w:tc>
        <w:tc>
          <w:tcPr>
            <w:tcW w:w="1874" w:type="dxa"/>
            <w:hideMark/>
          </w:tcPr>
          <w:p w:rsidR="00824D91" w:rsidRPr="00824D91" w:rsidRDefault="00824D91" w:rsidP="00B4264C">
            <w:pPr>
              <w:spacing w:line="360" w:lineRule="auto"/>
              <w:ind w:firstLine="33"/>
              <w:jc w:val="center"/>
              <w:rPr>
                <w:rFonts w:ascii="Times New Roman" w:hAnsi="Times New Roman"/>
                <w:bCs/>
                <w:sz w:val="28"/>
                <w:szCs w:val="28"/>
              </w:rPr>
            </w:pPr>
            <w:r w:rsidRPr="00824D91">
              <w:rPr>
                <w:rFonts w:ascii="Times New Roman" w:hAnsi="Times New Roman"/>
                <w:bCs/>
                <w:sz w:val="28"/>
                <w:szCs w:val="28"/>
              </w:rPr>
              <w:t>Высокогорье</w:t>
            </w:r>
          </w:p>
          <w:p w:rsidR="00824D91" w:rsidRPr="00824D91" w:rsidRDefault="00824D91" w:rsidP="00B4264C">
            <w:pPr>
              <w:spacing w:line="360" w:lineRule="auto"/>
              <w:ind w:firstLine="33"/>
              <w:jc w:val="center"/>
              <w:rPr>
                <w:rFonts w:ascii="Times New Roman" w:hAnsi="Times New Roman"/>
                <w:bCs/>
                <w:sz w:val="28"/>
                <w:szCs w:val="28"/>
              </w:rPr>
            </w:pPr>
            <w:r w:rsidRPr="00824D91">
              <w:rPr>
                <w:rFonts w:ascii="Times New Roman" w:hAnsi="Times New Roman"/>
                <w:bCs/>
                <w:sz w:val="28"/>
                <w:szCs w:val="28"/>
                <w:lang w:val="en-US"/>
              </w:rPr>
              <w:t>(n</w:t>
            </w:r>
            <w:r w:rsidRPr="00824D91">
              <w:rPr>
                <w:rFonts w:ascii="Times New Roman" w:hAnsi="Times New Roman"/>
                <w:bCs/>
                <w:sz w:val="28"/>
                <w:szCs w:val="28"/>
              </w:rPr>
              <w:t>=93</w:t>
            </w:r>
            <w:r w:rsidRPr="00824D91">
              <w:rPr>
                <w:rFonts w:ascii="Times New Roman" w:hAnsi="Times New Roman"/>
                <w:bCs/>
                <w:sz w:val="28"/>
                <w:szCs w:val="28"/>
                <w:lang w:val="en-US"/>
              </w:rPr>
              <w:t>)</w:t>
            </w:r>
          </w:p>
          <w:p w:rsidR="00824D91" w:rsidRPr="00824D91" w:rsidRDefault="00824D91" w:rsidP="00B4264C">
            <w:pPr>
              <w:spacing w:line="360" w:lineRule="auto"/>
              <w:ind w:firstLine="33"/>
              <w:jc w:val="center"/>
              <w:rPr>
                <w:rFonts w:ascii="Times New Roman" w:hAnsi="Times New Roman"/>
                <w:bCs/>
                <w:sz w:val="28"/>
                <w:szCs w:val="28"/>
              </w:rPr>
            </w:pPr>
            <w:r w:rsidRPr="00824D91">
              <w:rPr>
                <w:rFonts w:ascii="Times New Roman" w:hAnsi="Times New Roman"/>
                <w:bCs/>
                <w:sz w:val="28"/>
                <w:szCs w:val="28"/>
                <w:lang w:val="en-US"/>
              </w:rPr>
              <w:t>c</w:t>
            </w:r>
          </w:p>
        </w:tc>
        <w:tc>
          <w:tcPr>
            <w:tcW w:w="1984" w:type="dxa"/>
            <w:hideMark/>
          </w:tcPr>
          <w:p w:rsidR="00824D91" w:rsidRPr="00824D91" w:rsidRDefault="00824D91" w:rsidP="00092C84">
            <w:pPr>
              <w:spacing w:line="360" w:lineRule="auto"/>
              <w:ind w:firstLine="33"/>
              <w:jc w:val="both"/>
              <w:rPr>
                <w:rFonts w:ascii="Times New Roman" w:hAnsi="Times New Roman"/>
                <w:bCs/>
                <w:sz w:val="28"/>
                <w:szCs w:val="28"/>
              </w:rPr>
            </w:pPr>
            <w:r w:rsidRPr="00824D91">
              <w:rPr>
                <w:rFonts w:ascii="Times New Roman" w:hAnsi="Times New Roman"/>
                <w:bCs/>
                <w:sz w:val="28"/>
                <w:szCs w:val="28"/>
                <w:lang w:val="en-US"/>
              </w:rPr>
              <w:t>p</w:t>
            </w:r>
          </w:p>
        </w:tc>
      </w:tr>
      <w:tr w:rsidR="00824D91" w:rsidRPr="000D1F9B" w:rsidTr="00B4264C">
        <w:trPr>
          <w:trHeight w:val="1481"/>
        </w:trPr>
        <w:tc>
          <w:tcPr>
            <w:tcW w:w="529" w:type="dxa"/>
            <w:hideMark/>
          </w:tcPr>
          <w:p w:rsidR="00824D91" w:rsidRPr="00824D91" w:rsidRDefault="00824D91" w:rsidP="00092C84">
            <w:pPr>
              <w:spacing w:line="360" w:lineRule="auto"/>
              <w:ind w:hanging="5"/>
              <w:jc w:val="both"/>
              <w:rPr>
                <w:rFonts w:ascii="Times New Roman" w:hAnsi="Times New Roman"/>
                <w:bCs/>
                <w:sz w:val="28"/>
                <w:szCs w:val="28"/>
              </w:rPr>
            </w:pPr>
            <w:r w:rsidRPr="00824D91">
              <w:rPr>
                <w:rFonts w:ascii="Times New Roman" w:hAnsi="Times New Roman"/>
                <w:bCs/>
                <w:sz w:val="28"/>
                <w:szCs w:val="28"/>
              </w:rPr>
              <w:t>1</w:t>
            </w:r>
          </w:p>
        </w:tc>
        <w:tc>
          <w:tcPr>
            <w:tcW w:w="1842" w:type="dxa"/>
            <w:hideMark/>
          </w:tcPr>
          <w:p w:rsidR="00824D91" w:rsidRPr="00824D91" w:rsidRDefault="00824D91" w:rsidP="00092C84">
            <w:pPr>
              <w:spacing w:line="360" w:lineRule="auto"/>
              <w:ind w:firstLine="33"/>
              <w:jc w:val="both"/>
              <w:rPr>
                <w:rFonts w:ascii="Times New Roman" w:hAnsi="Times New Roman"/>
                <w:bCs/>
                <w:sz w:val="28"/>
                <w:szCs w:val="28"/>
              </w:rPr>
            </w:pPr>
            <w:r w:rsidRPr="00824D91">
              <w:rPr>
                <w:rFonts w:ascii="Times New Roman" w:hAnsi="Times New Roman"/>
                <w:bCs/>
                <w:sz w:val="28"/>
                <w:szCs w:val="28"/>
              </w:rPr>
              <w:t xml:space="preserve">Ангиотензин </w:t>
            </w:r>
            <w:r w:rsidRPr="00824D91">
              <w:rPr>
                <w:rFonts w:ascii="Times New Roman" w:hAnsi="Times New Roman"/>
                <w:bCs/>
                <w:sz w:val="28"/>
                <w:szCs w:val="28"/>
                <w:lang w:val="en-US"/>
              </w:rPr>
              <w:t>II</w:t>
            </w:r>
            <w:r w:rsidRPr="00824D91">
              <w:rPr>
                <w:rFonts w:ascii="Times New Roman" w:hAnsi="Times New Roman"/>
                <w:bCs/>
                <w:sz w:val="28"/>
                <w:szCs w:val="28"/>
              </w:rPr>
              <w:t xml:space="preserve"> (пг/мл)</w:t>
            </w:r>
          </w:p>
        </w:tc>
        <w:tc>
          <w:tcPr>
            <w:tcW w:w="1701" w:type="dxa"/>
            <w:hideMark/>
          </w:tcPr>
          <w:p w:rsidR="00824D91" w:rsidRPr="00824D91" w:rsidRDefault="00824D91" w:rsidP="00092C84">
            <w:pPr>
              <w:spacing w:line="360" w:lineRule="auto"/>
              <w:ind w:firstLine="33"/>
              <w:jc w:val="both"/>
              <w:rPr>
                <w:rFonts w:ascii="Times New Roman" w:hAnsi="Times New Roman"/>
                <w:bCs/>
                <w:sz w:val="28"/>
                <w:szCs w:val="28"/>
              </w:rPr>
            </w:pPr>
            <w:r w:rsidRPr="00824D91">
              <w:rPr>
                <w:rFonts w:ascii="Times New Roman" w:hAnsi="Times New Roman"/>
                <w:bCs/>
                <w:sz w:val="28"/>
                <w:szCs w:val="28"/>
                <w:lang w:val="en-US"/>
              </w:rPr>
              <w:t>7,81</w:t>
            </w:r>
            <w:r w:rsidRPr="00824D91">
              <w:rPr>
                <w:rFonts w:ascii="Times New Roman" w:hAnsi="Times New Roman"/>
                <w:bCs/>
                <w:sz w:val="28"/>
                <w:szCs w:val="28"/>
              </w:rPr>
              <w:t>±</w:t>
            </w:r>
            <w:r w:rsidRPr="00824D91">
              <w:rPr>
                <w:rFonts w:ascii="Times New Roman" w:hAnsi="Times New Roman"/>
                <w:bCs/>
                <w:sz w:val="28"/>
                <w:szCs w:val="28"/>
                <w:lang w:val="en-US"/>
              </w:rPr>
              <w:t>0,29</w:t>
            </w:r>
          </w:p>
        </w:tc>
        <w:tc>
          <w:tcPr>
            <w:tcW w:w="1812" w:type="dxa"/>
            <w:hideMark/>
          </w:tcPr>
          <w:p w:rsidR="00824D91" w:rsidRPr="00824D91" w:rsidRDefault="00824D91" w:rsidP="00092C84">
            <w:pPr>
              <w:spacing w:line="360" w:lineRule="auto"/>
              <w:ind w:firstLine="33"/>
              <w:jc w:val="both"/>
              <w:rPr>
                <w:rFonts w:ascii="Times New Roman" w:hAnsi="Times New Roman"/>
                <w:bCs/>
                <w:sz w:val="28"/>
                <w:szCs w:val="28"/>
              </w:rPr>
            </w:pPr>
            <w:r w:rsidRPr="00824D91">
              <w:rPr>
                <w:rFonts w:ascii="Times New Roman" w:hAnsi="Times New Roman"/>
                <w:bCs/>
                <w:sz w:val="28"/>
                <w:szCs w:val="28"/>
                <w:lang w:val="en-US"/>
              </w:rPr>
              <w:t>7,48</w:t>
            </w:r>
            <w:r w:rsidRPr="00824D91">
              <w:rPr>
                <w:rFonts w:ascii="Times New Roman" w:hAnsi="Times New Roman"/>
                <w:bCs/>
                <w:sz w:val="28"/>
                <w:szCs w:val="28"/>
              </w:rPr>
              <w:t>±</w:t>
            </w:r>
            <w:r w:rsidRPr="00824D91">
              <w:rPr>
                <w:rFonts w:ascii="Times New Roman" w:hAnsi="Times New Roman"/>
                <w:bCs/>
                <w:sz w:val="28"/>
                <w:szCs w:val="28"/>
                <w:lang w:val="en-US"/>
              </w:rPr>
              <w:t>0,17</w:t>
            </w:r>
          </w:p>
        </w:tc>
        <w:tc>
          <w:tcPr>
            <w:tcW w:w="1874" w:type="dxa"/>
            <w:hideMark/>
          </w:tcPr>
          <w:p w:rsidR="00824D91" w:rsidRPr="00824D91" w:rsidRDefault="00824D91" w:rsidP="00092C84">
            <w:pPr>
              <w:spacing w:line="360" w:lineRule="auto"/>
              <w:ind w:firstLine="33"/>
              <w:jc w:val="both"/>
              <w:rPr>
                <w:rFonts w:ascii="Times New Roman" w:hAnsi="Times New Roman"/>
                <w:bCs/>
                <w:sz w:val="28"/>
                <w:szCs w:val="28"/>
              </w:rPr>
            </w:pPr>
            <w:r w:rsidRPr="00824D91">
              <w:rPr>
                <w:rFonts w:ascii="Times New Roman" w:hAnsi="Times New Roman"/>
                <w:bCs/>
                <w:sz w:val="28"/>
                <w:szCs w:val="28"/>
                <w:lang w:val="en-US"/>
              </w:rPr>
              <w:t>10,27</w:t>
            </w:r>
            <w:r w:rsidRPr="00824D91">
              <w:rPr>
                <w:rFonts w:ascii="Times New Roman" w:hAnsi="Times New Roman"/>
                <w:bCs/>
                <w:sz w:val="28"/>
                <w:szCs w:val="28"/>
              </w:rPr>
              <w:t>±</w:t>
            </w:r>
            <w:r w:rsidRPr="00824D91">
              <w:rPr>
                <w:rFonts w:ascii="Times New Roman" w:hAnsi="Times New Roman"/>
                <w:bCs/>
                <w:sz w:val="28"/>
                <w:szCs w:val="28"/>
                <w:lang w:val="en-US"/>
              </w:rPr>
              <w:t>0,33</w:t>
            </w:r>
          </w:p>
        </w:tc>
        <w:tc>
          <w:tcPr>
            <w:tcW w:w="1984" w:type="dxa"/>
            <w:hideMark/>
          </w:tcPr>
          <w:p w:rsidR="00824D91" w:rsidRPr="00824D91" w:rsidRDefault="00824D91" w:rsidP="00092C84">
            <w:pPr>
              <w:spacing w:line="360" w:lineRule="auto"/>
              <w:ind w:firstLine="33"/>
              <w:jc w:val="both"/>
              <w:rPr>
                <w:rFonts w:ascii="Times New Roman" w:hAnsi="Times New Roman"/>
                <w:bCs/>
                <w:sz w:val="28"/>
                <w:szCs w:val="28"/>
                <w:lang w:val="en-US"/>
              </w:rPr>
            </w:pPr>
            <w:r w:rsidRPr="00824D91">
              <w:rPr>
                <w:rFonts w:ascii="Times New Roman" w:hAnsi="Times New Roman"/>
                <w:bCs/>
                <w:sz w:val="28"/>
                <w:szCs w:val="28"/>
                <w:lang w:val="en-US"/>
              </w:rPr>
              <w:t>p(a\b)-0.15</w:t>
            </w:r>
          </w:p>
          <w:p w:rsidR="00824D91" w:rsidRPr="00824D91" w:rsidRDefault="00824D91" w:rsidP="00092C84">
            <w:pPr>
              <w:spacing w:line="360" w:lineRule="auto"/>
              <w:ind w:firstLine="33"/>
              <w:jc w:val="both"/>
              <w:rPr>
                <w:rFonts w:ascii="Times New Roman" w:hAnsi="Times New Roman"/>
                <w:bCs/>
                <w:sz w:val="28"/>
                <w:szCs w:val="28"/>
                <w:lang w:val="en-US"/>
              </w:rPr>
            </w:pPr>
            <w:r w:rsidRPr="00824D91">
              <w:rPr>
                <w:rFonts w:ascii="Times New Roman" w:hAnsi="Times New Roman"/>
                <w:bCs/>
                <w:sz w:val="28"/>
                <w:szCs w:val="28"/>
                <w:lang w:val="en-US"/>
              </w:rPr>
              <w:t>p(b\c)˂0.05</w:t>
            </w:r>
          </w:p>
          <w:p w:rsidR="00824D91" w:rsidRPr="00824D91" w:rsidRDefault="00824D91" w:rsidP="00092C84">
            <w:pPr>
              <w:spacing w:line="360" w:lineRule="auto"/>
              <w:ind w:firstLine="33"/>
              <w:jc w:val="both"/>
              <w:rPr>
                <w:rFonts w:ascii="Times New Roman" w:hAnsi="Times New Roman"/>
                <w:bCs/>
                <w:sz w:val="28"/>
                <w:szCs w:val="28"/>
                <w:lang w:val="en-US"/>
              </w:rPr>
            </w:pPr>
            <w:r w:rsidRPr="00824D91">
              <w:rPr>
                <w:rFonts w:ascii="Times New Roman" w:hAnsi="Times New Roman"/>
                <w:bCs/>
                <w:sz w:val="28"/>
                <w:szCs w:val="28"/>
                <w:lang w:val="en-US"/>
              </w:rPr>
              <w:t>p(a\c) ˂0.04</w:t>
            </w:r>
          </w:p>
        </w:tc>
      </w:tr>
      <w:tr w:rsidR="00824D91" w:rsidRPr="000D1F9B" w:rsidTr="00B4264C">
        <w:trPr>
          <w:trHeight w:val="1262"/>
        </w:trPr>
        <w:tc>
          <w:tcPr>
            <w:tcW w:w="529" w:type="dxa"/>
            <w:hideMark/>
          </w:tcPr>
          <w:p w:rsidR="00824D91" w:rsidRPr="00824D91" w:rsidRDefault="00824D91" w:rsidP="00092C84">
            <w:pPr>
              <w:spacing w:line="360" w:lineRule="auto"/>
              <w:ind w:hanging="5"/>
              <w:jc w:val="both"/>
              <w:rPr>
                <w:rFonts w:ascii="Times New Roman" w:hAnsi="Times New Roman"/>
                <w:bCs/>
                <w:sz w:val="28"/>
                <w:szCs w:val="28"/>
              </w:rPr>
            </w:pPr>
            <w:r w:rsidRPr="00824D91">
              <w:rPr>
                <w:rFonts w:ascii="Times New Roman" w:hAnsi="Times New Roman"/>
                <w:bCs/>
                <w:sz w:val="28"/>
                <w:szCs w:val="28"/>
              </w:rPr>
              <w:t>2</w:t>
            </w:r>
          </w:p>
        </w:tc>
        <w:tc>
          <w:tcPr>
            <w:tcW w:w="1842" w:type="dxa"/>
            <w:hideMark/>
          </w:tcPr>
          <w:p w:rsidR="00824D91" w:rsidRPr="00824D91" w:rsidRDefault="00824D91" w:rsidP="00092C84">
            <w:pPr>
              <w:spacing w:line="360" w:lineRule="auto"/>
              <w:ind w:firstLine="33"/>
              <w:jc w:val="both"/>
              <w:rPr>
                <w:rFonts w:ascii="Times New Roman" w:hAnsi="Times New Roman"/>
                <w:bCs/>
                <w:sz w:val="28"/>
                <w:szCs w:val="28"/>
              </w:rPr>
            </w:pPr>
            <w:r w:rsidRPr="00824D91">
              <w:rPr>
                <w:rFonts w:ascii="Times New Roman" w:hAnsi="Times New Roman"/>
                <w:bCs/>
                <w:sz w:val="28"/>
                <w:szCs w:val="28"/>
              </w:rPr>
              <w:t>АПФ2 (пг/мл)</w:t>
            </w:r>
          </w:p>
        </w:tc>
        <w:tc>
          <w:tcPr>
            <w:tcW w:w="1701" w:type="dxa"/>
            <w:hideMark/>
          </w:tcPr>
          <w:p w:rsidR="00824D91" w:rsidRPr="00824D91" w:rsidRDefault="00824D91" w:rsidP="00092C84">
            <w:pPr>
              <w:spacing w:line="360" w:lineRule="auto"/>
              <w:ind w:firstLine="33"/>
              <w:jc w:val="both"/>
              <w:rPr>
                <w:rFonts w:ascii="Times New Roman" w:hAnsi="Times New Roman"/>
                <w:bCs/>
                <w:sz w:val="28"/>
                <w:szCs w:val="28"/>
              </w:rPr>
            </w:pPr>
            <w:r w:rsidRPr="00824D91">
              <w:rPr>
                <w:rFonts w:ascii="Times New Roman" w:hAnsi="Times New Roman"/>
                <w:bCs/>
                <w:sz w:val="28"/>
                <w:szCs w:val="28"/>
                <w:lang w:val="en-US"/>
              </w:rPr>
              <w:t>38,1</w:t>
            </w:r>
            <w:r w:rsidRPr="00824D91">
              <w:rPr>
                <w:rFonts w:ascii="Times New Roman" w:hAnsi="Times New Roman"/>
                <w:bCs/>
                <w:sz w:val="28"/>
                <w:szCs w:val="28"/>
              </w:rPr>
              <w:t>±</w:t>
            </w:r>
            <w:r w:rsidRPr="00824D91">
              <w:rPr>
                <w:rFonts w:ascii="Times New Roman" w:hAnsi="Times New Roman"/>
                <w:bCs/>
                <w:sz w:val="28"/>
                <w:szCs w:val="28"/>
                <w:lang w:val="en-US"/>
              </w:rPr>
              <w:t>0,71</w:t>
            </w:r>
          </w:p>
        </w:tc>
        <w:tc>
          <w:tcPr>
            <w:tcW w:w="1812" w:type="dxa"/>
            <w:hideMark/>
          </w:tcPr>
          <w:p w:rsidR="00824D91" w:rsidRPr="00824D91" w:rsidRDefault="00824D91" w:rsidP="00092C84">
            <w:pPr>
              <w:spacing w:line="360" w:lineRule="auto"/>
              <w:ind w:firstLine="33"/>
              <w:jc w:val="both"/>
              <w:rPr>
                <w:rFonts w:ascii="Times New Roman" w:hAnsi="Times New Roman"/>
                <w:bCs/>
                <w:sz w:val="28"/>
                <w:szCs w:val="28"/>
              </w:rPr>
            </w:pPr>
            <w:r w:rsidRPr="00824D91">
              <w:rPr>
                <w:rFonts w:ascii="Times New Roman" w:hAnsi="Times New Roman"/>
                <w:bCs/>
                <w:sz w:val="28"/>
                <w:szCs w:val="28"/>
                <w:lang w:val="en-US"/>
              </w:rPr>
              <w:t>21,8</w:t>
            </w:r>
            <w:r w:rsidRPr="00824D91">
              <w:rPr>
                <w:rFonts w:ascii="Times New Roman" w:hAnsi="Times New Roman"/>
                <w:bCs/>
                <w:sz w:val="28"/>
                <w:szCs w:val="28"/>
              </w:rPr>
              <w:t>±</w:t>
            </w:r>
            <w:r w:rsidRPr="00824D91">
              <w:rPr>
                <w:rFonts w:ascii="Times New Roman" w:hAnsi="Times New Roman"/>
                <w:bCs/>
                <w:sz w:val="28"/>
                <w:szCs w:val="28"/>
                <w:lang w:val="en-US"/>
              </w:rPr>
              <w:t>0,48</w:t>
            </w:r>
          </w:p>
        </w:tc>
        <w:tc>
          <w:tcPr>
            <w:tcW w:w="1874" w:type="dxa"/>
            <w:hideMark/>
          </w:tcPr>
          <w:p w:rsidR="00824D91" w:rsidRPr="00824D91" w:rsidRDefault="00824D91" w:rsidP="00092C84">
            <w:pPr>
              <w:spacing w:line="360" w:lineRule="auto"/>
              <w:ind w:firstLine="33"/>
              <w:jc w:val="both"/>
              <w:rPr>
                <w:rFonts w:ascii="Times New Roman" w:hAnsi="Times New Roman"/>
                <w:bCs/>
                <w:sz w:val="28"/>
                <w:szCs w:val="28"/>
              </w:rPr>
            </w:pPr>
            <w:r w:rsidRPr="00824D91">
              <w:rPr>
                <w:rFonts w:ascii="Times New Roman" w:hAnsi="Times New Roman"/>
                <w:bCs/>
                <w:sz w:val="28"/>
                <w:szCs w:val="28"/>
                <w:lang w:val="en-US"/>
              </w:rPr>
              <w:t>25,6</w:t>
            </w:r>
            <w:r w:rsidRPr="00824D91">
              <w:rPr>
                <w:rFonts w:ascii="Times New Roman" w:hAnsi="Times New Roman"/>
                <w:bCs/>
                <w:sz w:val="28"/>
                <w:szCs w:val="28"/>
              </w:rPr>
              <w:t>±</w:t>
            </w:r>
            <w:r w:rsidRPr="00824D91">
              <w:rPr>
                <w:rFonts w:ascii="Times New Roman" w:hAnsi="Times New Roman"/>
                <w:bCs/>
                <w:sz w:val="28"/>
                <w:szCs w:val="28"/>
                <w:lang w:val="en-US"/>
              </w:rPr>
              <w:t>0,13</w:t>
            </w:r>
          </w:p>
        </w:tc>
        <w:tc>
          <w:tcPr>
            <w:tcW w:w="1984" w:type="dxa"/>
            <w:hideMark/>
          </w:tcPr>
          <w:p w:rsidR="00824D91" w:rsidRPr="00824D91" w:rsidRDefault="00824D91" w:rsidP="00092C84">
            <w:pPr>
              <w:spacing w:line="360" w:lineRule="auto"/>
              <w:ind w:firstLine="33"/>
              <w:jc w:val="both"/>
              <w:rPr>
                <w:rFonts w:ascii="Times New Roman" w:hAnsi="Times New Roman"/>
                <w:bCs/>
                <w:sz w:val="28"/>
                <w:szCs w:val="28"/>
                <w:lang w:val="en-US"/>
              </w:rPr>
            </w:pPr>
            <w:r w:rsidRPr="00824D91">
              <w:rPr>
                <w:rFonts w:ascii="Times New Roman" w:hAnsi="Times New Roman"/>
                <w:bCs/>
                <w:sz w:val="28"/>
                <w:szCs w:val="28"/>
                <w:lang w:val="en-US"/>
              </w:rPr>
              <w:t>p(a\b)-0.44</w:t>
            </w:r>
          </w:p>
          <w:p w:rsidR="00824D91" w:rsidRPr="00824D91" w:rsidRDefault="00824D91" w:rsidP="00092C84">
            <w:pPr>
              <w:spacing w:line="360" w:lineRule="auto"/>
              <w:ind w:firstLine="33"/>
              <w:jc w:val="both"/>
              <w:rPr>
                <w:rFonts w:ascii="Times New Roman" w:hAnsi="Times New Roman"/>
                <w:bCs/>
                <w:sz w:val="28"/>
                <w:szCs w:val="28"/>
                <w:lang w:val="en-US"/>
              </w:rPr>
            </w:pPr>
            <w:r w:rsidRPr="00824D91">
              <w:rPr>
                <w:rFonts w:ascii="Times New Roman" w:hAnsi="Times New Roman"/>
                <w:bCs/>
                <w:sz w:val="28"/>
                <w:szCs w:val="28"/>
                <w:lang w:val="en-US"/>
              </w:rPr>
              <w:t>p(b\c) ˂ 0,05</w:t>
            </w:r>
          </w:p>
          <w:p w:rsidR="00824D91" w:rsidRPr="00824D91" w:rsidRDefault="00824D91" w:rsidP="00092C84">
            <w:pPr>
              <w:spacing w:line="360" w:lineRule="auto"/>
              <w:ind w:firstLine="33"/>
              <w:jc w:val="both"/>
              <w:rPr>
                <w:rFonts w:ascii="Times New Roman" w:hAnsi="Times New Roman"/>
                <w:bCs/>
                <w:sz w:val="28"/>
                <w:szCs w:val="28"/>
                <w:lang w:val="en-US"/>
              </w:rPr>
            </w:pPr>
            <w:r w:rsidRPr="00824D91">
              <w:rPr>
                <w:rFonts w:ascii="Times New Roman" w:hAnsi="Times New Roman"/>
                <w:bCs/>
                <w:sz w:val="28"/>
                <w:szCs w:val="28"/>
                <w:lang w:val="en-US"/>
              </w:rPr>
              <w:t>p(a\c)˂ 0,05</w:t>
            </w:r>
          </w:p>
        </w:tc>
      </w:tr>
    </w:tbl>
    <w:p w:rsidR="00824D91" w:rsidRPr="007C004C" w:rsidRDefault="00824D91" w:rsidP="00092C84">
      <w:pPr>
        <w:spacing w:after="0" w:line="360" w:lineRule="auto"/>
        <w:ind w:firstLine="567"/>
        <w:jc w:val="both"/>
        <w:rPr>
          <w:rFonts w:ascii="Times New Roman" w:eastAsia="Calibri" w:hAnsi="Times New Roman" w:cs="Times New Roman"/>
          <w:bCs/>
          <w:sz w:val="28"/>
          <w:szCs w:val="28"/>
          <w:lang w:val="en-US"/>
        </w:rPr>
      </w:pPr>
    </w:p>
    <w:p w:rsidR="00824D91" w:rsidRPr="00573AD8" w:rsidRDefault="00824D91" w:rsidP="00B4264C">
      <w:pPr>
        <w:spacing w:after="0" w:line="360" w:lineRule="auto"/>
        <w:ind w:firstLine="567"/>
        <w:jc w:val="both"/>
        <w:rPr>
          <w:rFonts w:ascii="Times New Roman" w:eastAsia="Calibri" w:hAnsi="Times New Roman" w:cs="Times New Roman"/>
          <w:bCs/>
          <w:sz w:val="28"/>
          <w:szCs w:val="28"/>
        </w:rPr>
      </w:pPr>
      <w:r w:rsidRPr="00573AD8">
        <w:rPr>
          <w:rFonts w:ascii="Times New Roman" w:eastAsia="Calibri" w:hAnsi="Times New Roman" w:cs="Times New Roman"/>
          <w:bCs/>
          <w:sz w:val="28"/>
          <w:szCs w:val="28"/>
        </w:rPr>
        <w:t>Проведенное исследование подтвердило значительное влияние климатогеографических факторов, в частности высотности, на ключевые патогенетические механизмы COVID-19. Полученные данные о концентрациях ангиотензина II и ангиотензин-превращающего фермента 2 (АПФ2, ACE2) в условиях низко-, средне- и высокогорья имеют важное значение для понимания клинических особенностей течения заболевания в этих регионах.</w:t>
      </w:r>
    </w:p>
    <w:p w:rsidR="00824D91" w:rsidRPr="00573AD8" w:rsidRDefault="00824D91" w:rsidP="00B4264C">
      <w:pPr>
        <w:spacing w:after="0" w:line="360" w:lineRule="auto"/>
        <w:ind w:firstLine="567"/>
        <w:jc w:val="both"/>
        <w:rPr>
          <w:rFonts w:ascii="Times New Roman" w:eastAsia="Calibri" w:hAnsi="Times New Roman" w:cs="Times New Roman"/>
          <w:bCs/>
          <w:sz w:val="28"/>
          <w:szCs w:val="28"/>
        </w:rPr>
      </w:pPr>
      <w:r w:rsidRPr="00573AD8">
        <w:rPr>
          <w:rFonts w:ascii="Times New Roman" w:eastAsia="Calibri" w:hAnsi="Times New Roman" w:cs="Times New Roman"/>
          <w:bCs/>
          <w:sz w:val="28"/>
          <w:szCs w:val="28"/>
        </w:rPr>
        <w:t xml:space="preserve">Ангиотензин II является важным регулятором сосудистого тонуса, воспалительных и тромботических процессов, играющим центральную роль в патогенезе COVID-19. Согласно результатам исследования, в условиях высокогорья уровень </w:t>
      </w:r>
      <w:r w:rsidR="00573AD8" w:rsidRPr="00573AD8">
        <w:rPr>
          <w:rFonts w:ascii="Times New Roman" w:eastAsia="Calibri" w:hAnsi="Times New Roman" w:cs="Times New Roman"/>
          <w:bCs/>
          <w:sz w:val="28"/>
          <w:szCs w:val="28"/>
        </w:rPr>
        <w:t>ангиотензина II</w:t>
      </w:r>
      <w:r w:rsidRPr="00573AD8">
        <w:rPr>
          <w:rFonts w:ascii="Times New Roman" w:eastAsia="Calibri" w:hAnsi="Times New Roman" w:cs="Times New Roman"/>
          <w:bCs/>
          <w:sz w:val="28"/>
          <w:szCs w:val="28"/>
        </w:rPr>
        <w:t xml:space="preserve"> был значительно выше (10,27 ± 0,33 пг/мл), чем в низкогорье (7,81 ± 0,29 пг/мл) и среднегорье (7,48 ± 0,17 пг/мл). Различия между высокогорьем и другими регионами оказались статистически </w:t>
      </w:r>
      <w:r w:rsidRPr="00573AD8">
        <w:rPr>
          <w:rFonts w:ascii="Times New Roman" w:eastAsia="Calibri" w:hAnsi="Times New Roman" w:cs="Times New Roman"/>
          <w:bCs/>
          <w:sz w:val="28"/>
          <w:szCs w:val="28"/>
        </w:rPr>
        <w:lastRenderedPageBreak/>
        <w:t>значимыми (</w:t>
      </w:r>
      <w:r w:rsidRPr="00573AD8">
        <w:rPr>
          <w:rFonts w:ascii="Times New Roman" w:eastAsia="Calibri" w:hAnsi="Times New Roman" w:cs="Times New Roman"/>
          <w:bCs/>
          <w:iCs/>
          <w:sz w:val="28"/>
          <w:szCs w:val="28"/>
        </w:rPr>
        <w:t>p(a\c) &lt; 0,04</w:t>
      </w:r>
      <w:r w:rsidRPr="00573AD8">
        <w:rPr>
          <w:rFonts w:ascii="Times New Roman" w:eastAsia="Calibri" w:hAnsi="Times New Roman" w:cs="Times New Roman"/>
          <w:bCs/>
          <w:sz w:val="28"/>
          <w:szCs w:val="28"/>
        </w:rPr>
        <w:t xml:space="preserve">, </w:t>
      </w:r>
      <w:r w:rsidRPr="00573AD8">
        <w:rPr>
          <w:rFonts w:ascii="Times New Roman" w:eastAsia="Calibri" w:hAnsi="Times New Roman" w:cs="Times New Roman"/>
          <w:bCs/>
          <w:iCs/>
          <w:sz w:val="28"/>
          <w:szCs w:val="28"/>
        </w:rPr>
        <w:t>p(b\c) &lt; 0,05</w:t>
      </w:r>
      <w:r w:rsidRPr="00573AD8">
        <w:rPr>
          <w:rFonts w:ascii="Times New Roman" w:eastAsia="Calibri" w:hAnsi="Times New Roman" w:cs="Times New Roman"/>
          <w:bCs/>
          <w:sz w:val="28"/>
          <w:szCs w:val="28"/>
        </w:rPr>
        <w:t>), что указывает на гипоксически-индуцированное усиление активности ангиотензиновой системы. Отсутствие значимого различия между низкогорьем и среднегорьем (</w:t>
      </w:r>
      <w:r w:rsidRPr="00573AD8">
        <w:rPr>
          <w:rFonts w:ascii="Times New Roman" w:eastAsia="Calibri" w:hAnsi="Times New Roman" w:cs="Times New Roman"/>
          <w:bCs/>
          <w:iCs/>
          <w:sz w:val="28"/>
          <w:szCs w:val="28"/>
        </w:rPr>
        <w:t>p(a\b) = 0,15</w:t>
      </w:r>
      <w:r w:rsidRPr="00573AD8">
        <w:rPr>
          <w:rFonts w:ascii="Times New Roman" w:eastAsia="Calibri" w:hAnsi="Times New Roman" w:cs="Times New Roman"/>
          <w:bCs/>
          <w:sz w:val="28"/>
          <w:szCs w:val="28"/>
        </w:rPr>
        <w:t>) подтверждает, что влияние высотности становится критически важным только в условиях гипоксии.</w:t>
      </w:r>
    </w:p>
    <w:p w:rsidR="00824D91" w:rsidRPr="00573AD8" w:rsidRDefault="00824D91" w:rsidP="00B4264C">
      <w:pPr>
        <w:spacing w:after="0" w:line="360" w:lineRule="auto"/>
        <w:ind w:firstLine="567"/>
        <w:jc w:val="both"/>
        <w:rPr>
          <w:rFonts w:ascii="Times New Roman" w:eastAsia="Calibri" w:hAnsi="Times New Roman" w:cs="Times New Roman"/>
          <w:bCs/>
          <w:sz w:val="28"/>
          <w:szCs w:val="28"/>
        </w:rPr>
      </w:pPr>
      <w:r w:rsidRPr="00573AD8">
        <w:rPr>
          <w:rFonts w:ascii="Times New Roman" w:eastAsia="Calibri" w:hAnsi="Times New Roman" w:cs="Times New Roman"/>
          <w:bCs/>
          <w:sz w:val="28"/>
          <w:szCs w:val="28"/>
        </w:rPr>
        <w:t xml:space="preserve">Повышение уровня </w:t>
      </w:r>
      <w:r w:rsidR="00573AD8" w:rsidRPr="00573AD8">
        <w:rPr>
          <w:rFonts w:ascii="Times New Roman" w:eastAsia="Calibri" w:hAnsi="Times New Roman" w:cs="Times New Roman"/>
          <w:bCs/>
          <w:sz w:val="28"/>
          <w:szCs w:val="28"/>
        </w:rPr>
        <w:t>ангиотензина II</w:t>
      </w:r>
      <w:r w:rsidRPr="00573AD8">
        <w:rPr>
          <w:rFonts w:ascii="Times New Roman" w:eastAsia="Calibri" w:hAnsi="Times New Roman" w:cs="Times New Roman"/>
          <w:bCs/>
          <w:sz w:val="28"/>
          <w:szCs w:val="28"/>
        </w:rPr>
        <w:t xml:space="preserve"> на высокогорье согласуется с данными, представленными в главе 3.4.4 диссертации, где описаны патофизиологические механизмы гипоксически-индуцированной активации ангиотензиновой системы. Данный процесс сопровождается увеличением риска тромбозов, усилением воспалительного ответа и повреждением сосудистого эндотелия, что ухудшает прогноз пациентов с COVID-19. Эти результаты подчеркивают необходимость динамического мониторинга уровня Ang II у пациентов, проживающих в высокогорных регионах, а также целесообразность применения ингибиторов ангиотензин-превращающего фермента (АПФИ) или блокато</w:t>
      </w:r>
      <w:r w:rsidR="00573AD8" w:rsidRPr="00573AD8">
        <w:rPr>
          <w:rFonts w:ascii="Times New Roman" w:eastAsia="Calibri" w:hAnsi="Times New Roman" w:cs="Times New Roman"/>
          <w:bCs/>
          <w:sz w:val="28"/>
          <w:szCs w:val="28"/>
        </w:rPr>
        <w:t xml:space="preserve">ров рецепторов ангиотензина II </w:t>
      </w:r>
      <w:r w:rsidRPr="00573AD8">
        <w:rPr>
          <w:rFonts w:ascii="Times New Roman" w:eastAsia="Calibri" w:hAnsi="Times New Roman" w:cs="Times New Roman"/>
          <w:bCs/>
          <w:sz w:val="28"/>
          <w:szCs w:val="28"/>
        </w:rPr>
        <w:t>в рамках комплексной терапии.</w:t>
      </w:r>
    </w:p>
    <w:p w:rsidR="00824D91" w:rsidRPr="00573AD8" w:rsidRDefault="00824D91" w:rsidP="00B4264C">
      <w:pPr>
        <w:spacing w:after="0" w:line="360" w:lineRule="auto"/>
        <w:ind w:firstLine="567"/>
        <w:jc w:val="both"/>
        <w:rPr>
          <w:rFonts w:ascii="Times New Roman" w:eastAsia="Calibri" w:hAnsi="Times New Roman" w:cs="Times New Roman"/>
          <w:bCs/>
          <w:sz w:val="28"/>
          <w:szCs w:val="28"/>
        </w:rPr>
      </w:pPr>
      <w:r w:rsidRPr="00573AD8">
        <w:rPr>
          <w:rFonts w:ascii="Times New Roman" w:eastAsia="Calibri" w:hAnsi="Times New Roman" w:cs="Times New Roman"/>
          <w:bCs/>
          <w:sz w:val="28"/>
          <w:szCs w:val="28"/>
        </w:rPr>
        <w:t xml:space="preserve">Ангиотензин-превращающий фермент 2 (ACE2), в свою очередь, выполняет двойную роль: служит клеточным рецептором для проникновения SARS-CoV-2 и участвует в преобразовании Ang II в антифиброзный и противовоспалительный </w:t>
      </w:r>
      <w:r w:rsidR="00573AD8" w:rsidRPr="00573AD8">
        <w:rPr>
          <w:rFonts w:ascii="Times New Roman" w:eastAsia="Calibri" w:hAnsi="Times New Roman" w:cs="Times New Roman"/>
          <w:bCs/>
          <w:sz w:val="28"/>
          <w:szCs w:val="28"/>
        </w:rPr>
        <w:t xml:space="preserve">ангиотензина </w:t>
      </w:r>
      <w:r w:rsidRPr="00573AD8">
        <w:rPr>
          <w:rFonts w:ascii="Times New Roman" w:eastAsia="Calibri" w:hAnsi="Times New Roman" w:cs="Times New Roman"/>
          <w:bCs/>
          <w:sz w:val="28"/>
          <w:szCs w:val="28"/>
        </w:rPr>
        <w:t>1-7. Согласно полученным данным, уровень ACE2 был значительно выше в низкогорье (38,1 ± 0,71 пг/мл) по сравнению со среднегорьем (21,8 ± 0,48 пг/мл) и высокогорьем (25,6 ± 0,13 пг/мл). Различия между низкогорьем и другими регионами оказались статистически значимыми (</w:t>
      </w:r>
      <w:r w:rsidRPr="00573AD8">
        <w:rPr>
          <w:rFonts w:ascii="Times New Roman" w:eastAsia="Calibri" w:hAnsi="Times New Roman" w:cs="Times New Roman"/>
          <w:bCs/>
          <w:iCs/>
          <w:sz w:val="28"/>
          <w:szCs w:val="28"/>
        </w:rPr>
        <w:t>p(a\c) &lt; 0,05</w:t>
      </w:r>
      <w:r w:rsidRPr="00573AD8">
        <w:rPr>
          <w:rFonts w:ascii="Times New Roman" w:eastAsia="Calibri" w:hAnsi="Times New Roman" w:cs="Times New Roman"/>
          <w:bCs/>
          <w:sz w:val="28"/>
          <w:szCs w:val="28"/>
        </w:rPr>
        <w:t xml:space="preserve">, </w:t>
      </w:r>
      <w:r w:rsidRPr="00573AD8">
        <w:rPr>
          <w:rFonts w:ascii="Times New Roman" w:eastAsia="Calibri" w:hAnsi="Times New Roman" w:cs="Times New Roman"/>
          <w:bCs/>
          <w:iCs/>
          <w:sz w:val="28"/>
          <w:szCs w:val="28"/>
        </w:rPr>
        <w:t>p(a\b) = 0,44</w:t>
      </w:r>
      <w:r w:rsidRPr="00573AD8">
        <w:rPr>
          <w:rFonts w:ascii="Times New Roman" w:eastAsia="Calibri" w:hAnsi="Times New Roman" w:cs="Times New Roman"/>
          <w:bCs/>
          <w:sz w:val="28"/>
          <w:szCs w:val="28"/>
        </w:rPr>
        <w:t>), что свидетельствует о снижении экспрессии ACE2 в условиях гипоксии.</w:t>
      </w:r>
    </w:p>
    <w:p w:rsidR="00824D91" w:rsidRPr="00573AD8" w:rsidRDefault="00824D91" w:rsidP="00B4264C">
      <w:pPr>
        <w:spacing w:after="0" w:line="360" w:lineRule="auto"/>
        <w:ind w:firstLine="567"/>
        <w:jc w:val="both"/>
        <w:rPr>
          <w:rFonts w:ascii="Times New Roman" w:eastAsia="Calibri" w:hAnsi="Times New Roman" w:cs="Times New Roman"/>
          <w:bCs/>
          <w:sz w:val="28"/>
          <w:szCs w:val="28"/>
        </w:rPr>
      </w:pPr>
      <w:r w:rsidRPr="00573AD8">
        <w:rPr>
          <w:rFonts w:ascii="Times New Roman" w:eastAsia="Calibri" w:hAnsi="Times New Roman" w:cs="Times New Roman"/>
          <w:bCs/>
          <w:sz w:val="28"/>
          <w:szCs w:val="28"/>
        </w:rPr>
        <w:t xml:space="preserve">Снижение уровня ACE2 на высокогорье подтверждает концепцию, изложенную в главе 3.4.5 диссертации, о дисбалансе ангиотензиновой системы, обусловленном гипоксией. Пониженная экспрессия ACE2 ослабляет защитные механизмы организма, увеличивает концентрацию </w:t>
      </w:r>
      <w:r w:rsidR="00573AD8" w:rsidRPr="00573AD8">
        <w:rPr>
          <w:rFonts w:ascii="Times New Roman" w:eastAsia="Calibri" w:hAnsi="Times New Roman" w:cs="Times New Roman"/>
          <w:bCs/>
          <w:sz w:val="28"/>
          <w:szCs w:val="28"/>
        </w:rPr>
        <w:t>ангиотензина II</w:t>
      </w:r>
      <w:r w:rsidRPr="00573AD8">
        <w:rPr>
          <w:rFonts w:ascii="Times New Roman" w:eastAsia="Calibri" w:hAnsi="Times New Roman" w:cs="Times New Roman"/>
          <w:bCs/>
          <w:sz w:val="28"/>
          <w:szCs w:val="28"/>
        </w:rPr>
        <w:t xml:space="preserve"> и способствует усилению воспалительного процесса. Эти изменения, в сочетании с нарушением свертывающей системы крови, создают условия для развития </w:t>
      </w:r>
      <w:r w:rsidRPr="00573AD8">
        <w:rPr>
          <w:rFonts w:ascii="Times New Roman" w:eastAsia="Calibri" w:hAnsi="Times New Roman" w:cs="Times New Roman"/>
          <w:bCs/>
          <w:sz w:val="28"/>
          <w:szCs w:val="28"/>
        </w:rPr>
        <w:lastRenderedPageBreak/>
        <w:t>тяжелых осложнений, включая острый респираторный дистресс-синдром (ОРДС). Введение мониторинга уровня ACE2 у пациентов в различных климатогеографических условиях может стать основой для прогнозирования тяжести заболевания и корректировки терапевтической тактики.</w:t>
      </w:r>
    </w:p>
    <w:p w:rsidR="00824D91" w:rsidRPr="00573AD8" w:rsidRDefault="00824D91" w:rsidP="00B4264C">
      <w:pPr>
        <w:spacing w:after="0" w:line="360" w:lineRule="auto"/>
        <w:ind w:firstLine="567"/>
        <w:jc w:val="both"/>
        <w:rPr>
          <w:rFonts w:ascii="Times New Roman" w:eastAsia="Calibri" w:hAnsi="Times New Roman" w:cs="Times New Roman"/>
          <w:bCs/>
          <w:sz w:val="28"/>
          <w:szCs w:val="28"/>
        </w:rPr>
      </w:pPr>
      <w:r w:rsidRPr="00573AD8">
        <w:rPr>
          <w:rFonts w:ascii="Times New Roman" w:eastAsia="Calibri" w:hAnsi="Times New Roman" w:cs="Times New Roman"/>
          <w:bCs/>
          <w:sz w:val="28"/>
          <w:szCs w:val="28"/>
        </w:rPr>
        <w:t xml:space="preserve">Полученные данные подчеркивают необходимость адаптации терапевтических подходов в зависимости от высотности. Для пациентов высокогорных регионов целесообразно использование препаратов, снижающих активность </w:t>
      </w:r>
      <w:r w:rsidR="00573AD8" w:rsidRPr="00573AD8">
        <w:rPr>
          <w:rFonts w:ascii="Times New Roman" w:eastAsia="Calibri" w:hAnsi="Times New Roman" w:cs="Times New Roman"/>
          <w:bCs/>
          <w:sz w:val="28"/>
          <w:szCs w:val="28"/>
        </w:rPr>
        <w:t>ангиотензина II</w:t>
      </w:r>
      <w:r w:rsidRPr="00573AD8">
        <w:rPr>
          <w:rFonts w:ascii="Times New Roman" w:eastAsia="Calibri" w:hAnsi="Times New Roman" w:cs="Times New Roman"/>
          <w:bCs/>
          <w:sz w:val="28"/>
          <w:szCs w:val="28"/>
        </w:rPr>
        <w:t xml:space="preserve"> и восстанавливающих баланс ангиотензиновой системы. Перспективным направлением является применение рекомбинантного ACE2, что может нивелировать негативные эффекты гипоксии и снизить риск тяжелых осложнений.</w:t>
      </w:r>
    </w:p>
    <w:p w:rsidR="00824D91" w:rsidRPr="00573AD8" w:rsidRDefault="00824D91" w:rsidP="00B4264C">
      <w:pPr>
        <w:spacing w:after="0" w:line="360" w:lineRule="auto"/>
        <w:ind w:firstLine="567"/>
        <w:jc w:val="both"/>
        <w:rPr>
          <w:rFonts w:ascii="Times New Roman" w:eastAsia="Calibri" w:hAnsi="Times New Roman" w:cs="Times New Roman"/>
          <w:bCs/>
          <w:sz w:val="28"/>
          <w:szCs w:val="28"/>
        </w:rPr>
      </w:pPr>
      <w:r w:rsidRPr="00573AD8">
        <w:rPr>
          <w:rFonts w:ascii="Times New Roman" w:eastAsia="Calibri" w:hAnsi="Times New Roman" w:cs="Times New Roman"/>
          <w:bCs/>
          <w:sz w:val="28"/>
          <w:szCs w:val="28"/>
        </w:rPr>
        <w:t>Таким образом, анализ уровней Ang II и ACE2 в условиях низко-, средне- и высокогорья демонстрирует значительное влияние климатогеографических факторов на патогенез COVID-19. Эти результаты имеют важное практическое значение для разработки персонализированных стратегий диагностики, лечения и профилактики, особенно для жителей высокогорных регионов</w:t>
      </w:r>
    </w:p>
    <w:p w:rsidR="00824D91" w:rsidRPr="00824D91" w:rsidRDefault="00824D91" w:rsidP="00076D39">
      <w:pPr>
        <w:spacing w:after="0" w:line="360" w:lineRule="auto"/>
        <w:ind w:firstLine="709"/>
        <w:jc w:val="both"/>
        <w:rPr>
          <w:rFonts w:ascii="Times New Roman" w:eastAsia="Calibri" w:hAnsi="Times New Roman" w:cs="Times New Roman"/>
          <w:bCs/>
          <w:sz w:val="28"/>
          <w:szCs w:val="28"/>
        </w:rPr>
      </w:pPr>
    </w:p>
    <w:p w:rsidR="000E3EC3" w:rsidRPr="000E3EC3" w:rsidRDefault="000E3EC3" w:rsidP="00B4264C">
      <w:pPr>
        <w:spacing w:after="0" w:line="360" w:lineRule="auto"/>
        <w:ind w:firstLine="567"/>
        <w:jc w:val="both"/>
        <w:rPr>
          <w:rFonts w:ascii="Times New Roman" w:eastAsia="Calibri" w:hAnsi="Times New Roman" w:cs="Times New Roman"/>
          <w:sz w:val="28"/>
          <w:szCs w:val="28"/>
        </w:rPr>
      </w:pPr>
      <w:r w:rsidRPr="000E3EC3">
        <w:rPr>
          <w:rFonts w:ascii="Times New Roman" w:eastAsia="Calibri" w:hAnsi="Times New Roman" w:cs="Times New Roman"/>
          <w:b/>
          <w:bCs/>
          <w:sz w:val="28"/>
          <w:szCs w:val="28"/>
        </w:rPr>
        <w:t>Резюме</w:t>
      </w:r>
    </w:p>
    <w:p w:rsidR="000E3EC3" w:rsidRPr="000E3EC3" w:rsidRDefault="000E3EC3" w:rsidP="00B4264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Pr="000E3EC3">
        <w:rPr>
          <w:rFonts w:ascii="Times New Roman" w:eastAsia="Calibri" w:hAnsi="Times New Roman" w:cs="Times New Roman"/>
          <w:sz w:val="28"/>
          <w:szCs w:val="28"/>
        </w:rPr>
        <w:t>сследование клинико-лабораторных и иммунологических особенностей течения COVID-19 у пациентов, проживающих в условиях низко-, средне- и высокогорья Кыргызской Республике</w:t>
      </w:r>
      <w:r w:rsidR="00076D39">
        <w:rPr>
          <w:rFonts w:ascii="Times New Roman" w:eastAsia="Calibri" w:hAnsi="Times New Roman" w:cs="Times New Roman"/>
          <w:sz w:val="28"/>
          <w:szCs w:val="28"/>
        </w:rPr>
        <w:t xml:space="preserve"> описанное в разделе,</w:t>
      </w:r>
      <w:r w:rsidRPr="000E3EC3">
        <w:rPr>
          <w:rFonts w:ascii="Times New Roman" w:eastAsia="Calibri" w:hAnsi="Times New Roman" w:cs="Times New Roman"/>
          <w:sz w:val="28"/>
          <w:szCs w:val="28"/>
        </w:rPr>
        <w:t xml:space="preserve"> показало, что базовые симптомы COVID-19, такие как кашель, боль в горле и озноб, проявляются одинаково во всех климатических зонах, что указывает на отсутствие влияния высоты на начальные признаки болезни. Однако пациенты в высокогорных районах чаще испытывают выраженную слабость, мышечные боли и дискомфорт в грудной клетке, что может быть связано с гипоксией. Частота дыхания, сердечный ритм и артериальное давление у пациентов высокогорья также оказались выше, что отражает компенсаторные механизмы, включающиеся в условиях пониженного кислородного давления. Сатурация кислорода была ниже у пациентов высокогорья, указывая на более тяжелое </w:t>
      </w:r>
      <w:r w:rsidRPr="000E3EC3">
        <w:rPr>
          <w:rFonts w:ascii="Times New Roman" w:eastAsia="Calibri" w:hAnsi="Times New Roman" w:cs="Times New Roman"/>
          <w:sz w:val="28"/>
          <w:szCs w:val="28"/>
        </w:rPr>
        <w:lastRenderedPageBreak/>
        <w:t>течение заболевания.</w:t>
      </w:r>
      <w:r w:rsidR="00076D39">
        <w:rPr>
          <w:rFonts w:ascii="Times New Roman" w:eastAsia="Calibri" w:hAnsi="Times New Roman" w:cs="Times New Roman"/>
          <w:sz w:val="28"/>
          <w:szCs w:val="28"/>
        </w:rPr>
        <w:t xml:space="preserve"> </w:t>
      </w:r>
      <w:r w:rsidRPr="000E3EC3">
        <w:rPr>
          <w:rFonts w:ascii="Times New Roman" w:eastAsia="Calibri" w:hAnsi="Times New Roman" w:cs="Times New Roman"/>
          <w:sz w:val="28"/>
          <w:szCs w:val="28"/>
        </w:rPr>
        <w:t>Лабораторные исследования выявили повышение уровня гемоглобина и эритроцитов у высокогорных пациентов, что объясняется реакцией на гипоксию. Кроме того, в этой группе наблюдались более высокие уровни воспалительных цитокинов и активность липидного обмена, что свидетельствует об усиленном воспалительном процессе и окислительном стрессе. У таких пациентов также была более выражена активность свертывающей системы крови, повышая риск тромбообразования.</w:t>
      </w:r>
    </w:p>
    <w:p w:rsidR="000E3EC3" w:rsidRPr="000E3EC3" w:rsidRDefault="000E3EC3" w:rsidP="00B4264C">
      <w:pPr>
        <w:spacing w:after="0" w:line="360" w:lineRule="auto"/>
        <w:ind w:firstLine="567"/>
        <w:jc w:val="both"/>
        <w:rPr>
          <w:rFonts w:ascii="Times New Roman" w:eastAsia="Calibri" w:hAnsi="Times New Roman" w:cs="Times New Roman"/>
          <w:sz w:val="28"/>
          <w:szCs w:val="28"/>
        </w:rPr>
      </w:pPr>
      <w:r w:rsidRPr="000E3EC3">
        <w:rPr>
          <w:rFonts w:ascii="Times New Roman" w:eastAsia="Calibri" w:hAnsi="Times New Roman" w:cs="Times New Roman"/>
          <w:sz w:val="28"/>
          <w:szCs w:val="28"/>
        </w:rPr>
        <w:t>Терапевтические подходы также варьировались в зависимости от высоты проживания. В высокогорных районах чаще применялись антикоагулянты и антибактериальные препараты, что связано с особенностями течения COVID-19 в условиях гипоксии и риском тромбозов.</w:t>
      </w:r>
    </w:p>
    <w:p w:rsidR="000E3EC3" w:rsidRPr="000E3EC3" w:rsidRDefault="000E3EC3" w:rsidP="00B4264C">
      <w:pPr>
        <w:spacing w:after="0" w:line="360" w:lineRule="auto"/>
        <w:ind w:firstLine="567"/>
        <w:jc w:val="both"/>
        <w:rPr>
          <w:rFonts w:ascii="Times New Roman" w:eastAsia="Calibri" w:hAnsi="Times New Roman" w:cs="Times New Roman"/>
          <w:sz w:val="28"/>
          <w:szCs w:val="28"/>
        </w:rPr>
      </w:pPr>
      <w:r w:rsidRPr="000E3EC3">
        <w:rPr>
          <w:rFonts w:ascii="Times New Roman" w:eastAsia="Calibri" w:hAnsi="Times New Roman" w:cs="Times New Roman"/>
          <w:sz w:val="28"/>
          <w:szCs w:val="28"/>
        </w:rPr>
        <w:t>Таким образом, исследование подчеркивает, что высокогорный климат усложняет течение COVID-19 и требует особого внимания и подхода к лечению пациентов из этих регионов.</w:t>
      </w:r>
    </w:p>
    <w:p w:rsidR="007732E8" w:rsidRPr="007732E8" w:rsidRDefault="007732E8" w:rsidP="00B4264C">
      <w:pPr>
        <w:spacing w:after="0" w:line="360" w:lineRule="auto"/>
        <w:ind w:firstLine="567"/>
        <w:jc w:val="both"/>
        <w:rPr>
          <w:rFonts w:ascii="Times New Roman" w:eastAsia="Calibri" w:hAnsi="Times New Roman" w:cs="Times New Roman"/>
          <w:sz w:val="28"/>
          <w:szCs w:val="28"/>
        </w:rPr>
      </w:pPr>
    </w:p>
    <w:p w:rsidR="007732E8" w:rsidRPr="007732E8" w:rsidRDefault="007732E8" w:rsidP="00B4264C">
      <w:pPr>
        <w:spacing w:after="0" w:line="360" w:lineRule="auto"/>
        <w:ind w:firstLine="567"/>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3.3. Показатели ментального здоровья у пациентов с </w:t>
      </w:r>
      <w:r w:rsidRPr="007732E8">
        <w:rPr>
          <w:rFonts w:ascii="Times New Roman" w:eastAsia="Calibri" w:hAnsi="Times New Roman" w:cs="Times New Roman"/>
          <w:b/>
          <w:sz w:val="28"/>
          <w:szCs w:val="28"/>
          <w:lang w:val="en-US"/>
        </w:rPr>
        <w:t>COVID</w:t>
      </w:r>
      <w:r w:rsidRPr="007732E8">
        <w:rPr>
          <w:rFonts w:ascii="Times New Roman" w:eastAsia="Calibri" w:hAnsi="Times New Roman" w:cs="Times New Roman"/>
          <w:b/>
          <w:sz w:val="28"/>
          <w:szCs w:val="28"/>
        </w:rPr>
        <w:t>-19 в период заболевания.</w:t>
      </w:r>
    </w:p>
    <w:p w:rsidR="007732E8" w:rsidRPr="007732E8" w:rsidRDefault="007732E8" w:rsidP="00B4264C">
      <w:pPr>
        <w:spacing w:after="0" w:line="360" w:lineRule="auto"/>
        <w:ind w:firstLine="567"/>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В начале анкетирования респондентов было выяснено наличие сопутствующих хронических заболевании у них, таких как, сахарный диабет, гипертоническая болезнь, заболевании дыхательной системы и других. Как видно из данных </w:t>
      </w:r>
      <w:r w:rsidR="00B979EE">
        <w:rPr>
          <w:rFonts w:ascii="Times New Roman" w:eastAsia="Calibri" w:hAnsi="Times New Roman" w:cs="Times New Roman"/>
          <w:sz w:val="28"/>
          <w:szCs w:val="28"/>
        </w:rPr>
        <w:t>рисунка 3.3.1</w:t>
      </w:r>
      <w:r w:rsidRPr="007732E8">
        <w:rPr>
          <w:rFonts w:ascii="Times New Roman" w:eastAsia="Calibri" w:hAnsi="Times New Roman" w:cs="Times New Roman"/>
          <w:sz w:val="28"/>
          <w:szCs w:val="28"/>
        </w:rPr>
        <w:t xml:space="preserve">, в 1 возрастной группе, утвердительно на данный вопрос ответили только 36 респондентов (4,4%). Во 2 группе этот процент составил - 15,6% (40 человек); в 3 группе - 20,1% (44 человека); в 4 группе - 50% (80 человек); в 5 группе - 35,5% (55 человек) и в 6 группе - 80,2% (105 человек). Следовательно, с увеличением возраста естественным образом увеличивается и наличие хронических заболеваний. </w:t>
      </w:r>
    </w:p>
    <w:p w:rsidR="007732E8" w:rsidRPr="007732E8" w:rsidRDefault="007732E8" w:rsidP="00B4264C">
      <w:pPr>
        <w:spacing w:after="0" w:line="360" w:lineRule="auto"/>
        <w:ind w:firstLine="567"/>
        <w:jc w:val="both"/>
        <w:rPr>
          <w:rFonts w:ascii="Times New Roman" w:eastAsia="Calibri" w:hAnsi="Times New Roman" w:cs="Times New Roman"/>
          <w:sz w:val="28"/>
          <w:szCs w:val="28"/>
        </w:rPr>
      </w:pPr>
    </w:p>
    <w:p w:rsidR="007732E8" w:rsidRPr="007732E8" w:rsidRDefault="007732E8" w:rsidP="00B4264C">
      <w:pPr>
        <w:spacing w:after="0" w:line="360" w:lineRule="auto"/>
        <w:jc w:val="center"/>
        <w:rPr>
          <w:rFonts w:ascii="Times New Roman" w:eastAsia="Calibri" w:hAnsi="Times New Roman" w:cs="Times New Roman"/>
          <w:sz w:val="28"/>
          <w:szCs w:val="28"/>
        </w:rPr>
      </w:pPr>
      <w:r w:rsidRPr="007732E8">
        <w:rPr>
          <w:rFonts w:ascii="Calibri" w:eastAsia="Calibri" w:hAnsi="Calibri" w:cs="Times New Roman"/>
          <w:noProof/>
          <w:lang w:eastAsia="ru-RU"/>
        </w:rPr>
        <w:lastRenderedPageBreak/>
        <w:drawing>
          <wp:inline distT="0" distB="0" distL="0" distR="0" wp14:anchorId="1EB45158" wp14:editId="06A151CC">
            <wp:extent cx="5570220" cy="2506980"/>
            <wp:effectExtent l="0" t="0" r="11430" b="7620"/>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732E8" w:rsidRPr="007732E8" w:rsidRDefault="007732E8" w:rsidP="00B4264C">
      <w:pPr>
        <w:tabs>
          <w:tab w:val="left" w:pos="895"/>
        </w:tabs>
        <w:spacing w:after="0" w:line="360" w:lineRule="auto"/>
        <w:ind w:firstLine="567"/>
        <w:jc w:val="center"/>
        <w:rPr>
          <w:rFonts w:ascii="Times New Roman" w:eastAsia="Calibri" w:hAnsi="Times New Roman" w:cs="Times New Roman"/>
          <w:sz w:val="28"/>
          <w:szCs w:val="28"/>
        </w:rPr>
      </w:pPr>
      <w:r w:rsidRPr="007732E8">
        <w:rPr>
          <w:rFonts w:ascii="Times New Roman" w:eastAsia="Calibri" w:hAnsi="Times New Roman" w:cs="Times New Roman"/>
          <w:sz w:val="28"/>
          <w:szCs w:val="28"/>
        </w:rPr>
        <w:t>Рисунок 3.3.1</w:t>
      </w:r>
      <w:r w:rsidR="00B4264C">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Показатели наличия хронических заболеваний </w:t>
      </w:r>
      <w:r w:rsidR="00B4264C">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у групп респондентов</w:t>
      </w:r>
      <w:r w:rsidR="00B4264C">
        <w:rPr>
          <w:rFonts w:ascii="Times New Roman" w:eastAsia="Calibri" w:hAnsi="Times New Roman" w:cs="Times New Roman"/>
          <w:sz w:val="28"/>
          <w:szCs w:val="28"/>
        </w:rPr>
        <w:t>.</w:t>
      </w:r>
    </w:p>
    <w:p w:rsidR="007732E8" w:rsidRPr="007732E8" w:rsidRDefault="007732E8" w:rsidP="00B4264C">
      <w:pPr>
        <w:spacing w:after="0" w:line="360" w:lineRule="auto"/>
        <w:ind w:firstLine="567"/>
        <w:jc w:val="both"/>
        <w:rPr>
          <w:rFonts w:ascii="Times New Roman" w:eastAsia="Calibri" w:hAnsi="Times New Roman" w:cs="Times New Roman"/>
          <w:sz w:val="28"/>
          <w:szCs w:val="28"/>
        </w:rPr>
      </w:pPr>
    </w:p>
    <w:p w:rsidR="007732E8" w:rsidRPr="007732E8" w:rsidRDefault="007732E8" w:rsidP="00B4264C">
      <w:pPr>
        <w:spacing w:after="0" w:line="360" w:lineRule="auto"/>
        <w:ind w:firstLine="567"/>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Другая группа вопросов, заданных респондентам, касалась предпринимаемых мер по профилактике заболевания. В каждой возрастной группе основными мерами профилактики были: самоизоляция и соблюдение мер личной гигиены (от 12,5% до 29,8%); самоизоляция, соблюдение мер личной гигиены и здоровое питание (от 35,5% до 65,4%); либо только соблюдение мер ли</w:t>
      </w:r>
      <w:r w:rsidR="00B979EE">
        <w:rPr>
          <w:rFonts w:ascii="Times New Roman" w:eastAsia="Calibri" w:hAnsi="Times New Roman" w:cs="Times New Roman"/>
          <w:sz w:val="28"/>
          <w:szCs w:val="28"/>
        </w:rPr>
        <w:t>чной гигиены (от 9,9% до 29%) (р</w:t>
      </w:r>
      <w:r w:rsidRPr="007732E8">
        <w:rPr>
          <w:rFonts w:ascii="Times New Roman" w:eastAsia="Calibri" w:hAnsi="Times New Roman" w:cs="Times New Roman"/>
          <w:sz w:val="28"/>
          <w:szCs w:val="28"/>
        </w:rPr>
        <w:t>исунок 3.3.2) . Основными источниками информации о COVID-19 также в каждой возрастной группе были социальные сети (от 28,4% до 62,7%) и новостн</w:t>
      </w:r>
      <w:r w:rsidR="00F2626D">
        <w:rPr>
          <w:rFonts w:ascii="Times New Roman" w:eastAsia="Calibri" w:hAnsi="Times New Roman" w:cs="Times New Roman"/>
          <w:sz w:val="28"/>
          <w:szCs w:val="28"/>
        </w:rPr>
        <w:t>ые порталы (от 9,9% до 49,7%) (р</w:t>
      </w:r>
      <w:r w:rsidRPr="007732E8">
        <w:rPr>
          <w:rFonts w:ascii="Times New Roman" w:eastAsia="Calibri" w:hAnsi="Times New Roman" w:cs="Times New Roman"/>
          <w:sz w:val="28"/>
          <w:szCs w:val="28"/>
        </w:rPr>
        <w:t>исунок 3.3.3).</w:t>
      </w: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Times New Roman" w:eastAsia="Calibri" w:hAnsi="Times New Roman" w:cs="Times New Roman"/>
          <w:noProof/>
          <w:sz w:val="28"/>
          <w:szCs w:val="28"/>
          <w:lang w:eastAsia="ru-RU"/>
        </w:rPr>
        <w:lastRenderedPageBreak/>
        <w:drawing>
          <wp:inline distT="0" distB="0" distL="0" distR="0" wp14:anchorId="3008AA98" wp14:editId="578553B2">
            <wp:extent cx="5417820" cy="3611880"/>
            <wp:effectExtent l="0" t="0" r="11430" b="26670"/>
            <wp:docPr id="18"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Times New Roman" w:eastAsia="Calibri" w:hAnsi="Times New Roman" w:cs="Times New Roman"/>
          <w:sz w:val="28"/>
          <w:szCs w:val="28"/>
        </w:rPr>
        <w:t>Рисунок 3.3.2</w:t>
      </w:r>
      <w:r w:rsidR="00F2626D">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Меры профилактики, применяемы в качестве профилактики COVID-19</w:t>
      </w:r>
      <w:r w:rsidR="00F2626D">
        <w:rPr>
          <w:rFonts w:ascii="Times New Roman" w:eastAsia="Calibri" w:hAnsi="Times New Roman" w:cs="Times New Roman"/>
          <w:sz w:val="28"/>
          <w:szCs w:val="28"/>
        </w:rPr>
        <w:t>.</w:t>
      </w:r>
    </w:p>
    <w:p w:rsidR="007732E8" w:rsidRPr="007732E8" w:rsidRDefault="007732E8" w:rsidP="00F2626D">
      <w:pPr>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 </w:t>
      </w:r>
      <w:r w:rsidRPr="007732E8">
        <w:rPr>
          <w:rFonts w:ascii="Times New Roman" w:eastAsia="Calibri" w:hAnsi="Times New Roman" w:cs="Times New Roman"/>
          <w:noProof/>
          <w:sz w:val="28"/>
          <w:szCs w:val="28"/>
          <w:lang w:eastAsia="ru-RU"/>
        </w:rPr>
        <w:drawing>
          <wp:inline distT="0" distB="0" distL="0" distR="0" wp14:anchorId="4522DA56" wp14:editId="651EE20B">
            <wp:extent cx="5189220" cy="4183380"/>
            <wp:effectExtent l="0" t="0" r="11430" b="26670"/>
            <wp:docPr id="19"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732E8" w:rsidRPr="007732E8" w:rsidRDefault="007732E8" w:rsidP="007732E8">
      <w:pPr>
        <w:tabs>
          <w:tab w:val="left" w:pos="895"/>
        </w:tabs>
        <w:spacing w:after="0" w:line="360" w:lineRule="auto"/>
        <w:jc w:val="center"/>
        <w:rPr>
          <w:rFonts w:ascii="Times New Roman" w:eastAsia="Calibri" w:hAnsi="Times New Roman" w:cs="Times New Roman"/>
          <w:sz w:val="28"/>
          <w:szCs w:val="28"/>
        </w:rPr>
      </w:pPr>
      <w:r w:rsidRPr="007732E8">
        <w:rPr>
          <w:rFonts w:ascii="Times New Roman" w:eastAsia="Calibri" w:hAnsi="Times New Roman" w:cs="Times New Roman"/>
          <w:sz w:val="28"/>
          <w:szCs w:val="28"/>
        </w:rPr>
        <w:t>Рисунок 3.3.3</w:t>
      </w:r>
      <w:r w:rsidR="00F2626D">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Показатели источников информации у групп респондентов</w:t>
      </w: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lastRenderedPageBreak/>
        <w:t>Наличие РТ в группах респондентов показывает (Таблица 3.3.1.), что самый низкий уровень тревожности отмечен в 3 группе (возраст 36-45 лет) и составил 5,5% (12 человек), а самый высокий процент в 5 группе (возраст 56-64 года) - 21,9% (34 человека). В остальных группах эти значения варьировали от 9,9% (6 группа) до 16% (2 группа).</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Средний уровень тревожности с максимальным процентным отношением был в 1 группе - 42% (320 человек), а минимальный в 5 группе - 14,2% (22 человека).</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В остальных группах эти значения соответственно составили: во 2 группе - 39,5% (101 человек); в 3 группе - 26,9% (59 человек); в 4 группе - 25% (40 человек); в 6 группе _ 19.8% (26 человек). </w:t>
      </w:r>
    </w:p>
    <w:p w:rsid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Высокий уровень РТ был самым низким в 1 группе - 43,1% (326 человека), а самым высоким в 6 группе - 70,2% (92 человека). </w:t>
      </w:r>
    </w:p>
    <w:p w:rsidR="00343EA2" w:rsidRPr="007732E8" w:rsidRDefault="00343EA2" w:rsidP="00343EA2">
      <w:pPr>
        <w:spacing w:after="0" w:line="360" w:lineRule="auto"/>
        <w:ind w:firstLine="709"/>
        <w:jc w:val="both"/>
        <w:rPr>
          <w:rFonts w:ascii="Times New Roman" w:eastAsia="Calibri" w:hAnsi="Times New Roman" w:cs="Times New Roman"/>
          <w:sz w:val="28"/>
          <w:szCs w:val="28"/>
        </w:rPr>
      </w:pPr>
    </w:p>
    <w:p w:rsidR="007732E8" w:rsidRDefault="007732E8" w:rsidP="00F2626D">
      <w:pPr>
        <w:tabs>
          <w:tab w:val="left" w:pos="895"/>
        </w:tabs>
        <w:spacing w:after="0" w:line="360" w:lineRule="auto"/>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Таблица 3.3.1</w:t>
      </w:r>
      <w:r w:rsidR="00F2626D">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Показатели реактивной тревожности в группах респондентов</w:t>
      </w:r>
    </w:p>
    <w:p w:rsidR="00F2626D" w:rsidRPr="00F2626D" w:rsidRDefault="00F2626D" w:rsidP="00F2626D">
      <w:pPr>
        <w:tabs>
          <w:tab w:val="left" w:pos="895"/>
        </w:tabs>
        <w:spacing w:after="0" w:line="360" w:lineRule="auto"/>
        <w:jc w:val="both"/>
        <w:rPr>
          <w:rFonts w:ascii="Times New Roman" w:eastAsia="Calibri" w:hAnsi="Times New Roman" w:cs="Times New Roman"/>
          <w:sz w:val="16"/>
          <w:szCs w:val="28"/>
        </w:rPr>
      </w:pPr>
    </w:p>
    <w:tbl>
      <w:tblPr>
        <w:tblStyle w:val="2"/>
        <w:tblW w:w="0" w:type="auto"/>
        <w:tblInd w:w="108" w:type="dxa"/>
        <w:tblLook w:val="04A0" w:firstRow="1" w:lastRow="0" w:firstColumn="1" w:lastColumn="0" w:noHBand="0" w:noVBand="1"/>
      </w:tblPr>
      <w:tblGrid>
        <w:gridCol w:w="1987"/>
        <w:gridCol w:w="1475"/>
        <w:gridCol w:w="1258"/>
        <w:gridCol w:w="1255"/>
        <w:gridCol w:w="1258"/>
        <w:gridCol w:w="1255"/>
        <w:gridCol w:w="1258"/>
      </w:tblGrid>
      <w:tr w:rsidR="007732E8" w:rsidRPr="007732E8" w:rsidTr="00F2626D">
        <w:tc>
          <w:tcPr>
            <w:tcW w:w="1987" w:type="dxa"/>
            <w:vMerge w:val="restart"/>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Группы респондентов</w:t>
            </w:r>
          </w:p>
        </w:tc>
        <w:tc>
          <w:tcPr>
            <w:tcW w:w="7759" w:type="dxa"/>
            <w:gridSpan w:val="6"/>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Уровень реактивной тревожности</w:t>
            </w:r>
          </w:p>
        </w:tc>
      </w:tr>
      <w:tr w:rsidR="007732E8" w:rsidRPr="007732E8" w:rsidTr="00F2626D">
        <w:tc>
          <w:tcPr>
            <w:tcW w:w="1987" w:type="dxa"/>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7732E8">
            <w:pPr>
              <w:rPr>
                <w:rFonts w:ascii="Times New Roman" w:hAnsi="Times New Roman"/>
                <w:iCs/>
                <w:sz w:val="28"/>
                <w:szCs w:val="28"/>
              </w:rPr>
            </w:pPr>
          </w:p>
        </w:tc>
        <w:tc>
          <w:tcPr>
            <w:tcW w:w="2733" w:type="dxa"/>
            <w:gridSpan w:val="2"/>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низкий</w:t>
            </w:r>
          </w:p>
        </w:tc>
        <w:tc>
          <w:tcPr>
            <w:tcW w:w="2513" w:type="dxa"/>
            <w:gridSpan w:val="2"/>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средний</w:t>
            </w:r>
          </w:p>
        </w:tc>
        <w:tc>
          <w:tcPr>
            <w:tcW w:w="2513" w:type="dxa"/>
            <w:gridSpan w:val="2"/>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высокий</w:t>
            </w:r>
          </w:p>
        </w:tc>
      </w:tr>
      <w:tr w:rsidR="007732E8" w:rsidRPr="007732E8" w:rsidTr="00F2626D">
        <w:tc>
          <w:tcPr>
            <w:tcW w:w="1987" w:type="dxa"/>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7732E8">
            <w:pPr>
              <w:rPr>
                <w:rFonts w:ascii="Times New Roman" w:hAnsi="Times New Roman"/>
                <w:iCs/>
                <w:sz w:val="28"/>
                <w:szCs w:val="28"/>
              </w:rPr>
            </w:pPr>
          </w:p>
        </w:tc>
        <w:tc>
          <w:tcPr>
            <w:tcW w:w="147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абс.</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w:t>
            </w:r>
          </w:p>
        </w:tc>
        <w:tc>
          <w:tcPr>
            <w:tcW w:w="12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абс.</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w:t>
            </w:r>
          </w:p>
        </w:tc>
        <w:tc>
          <w:tcPr>
            <w:tcW w:w="12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абс.</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w:t>
            </w:r>
          </w:p>
        </w:tc>
      </w:tr>
      <w:tr w:rsidR="007732E8" w:rsidRPr="007732E8" w:rsidTr="00F2626D">
        <w:tc>
          <w:tcPr>
            <w:tcW w:w="198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color w:val="000000"/>
                <w:sz w:val="28"/>
                <w:szCs w:val="28"/>
              </w:rPr>
              <w:t>I(17-25лет)</w:t>
            </w:r>
          </w:p>
        </w:tc>
        <w:tc>
          <w:tcPr>
            <w:tcW w:w="147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113</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14,8</w:t>
            </w:r>
          </w:p>
        </w:tc>
        <w:tc>
          <w:tcPr>
            <w:tcW w:w="12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320</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42</w:t>
            </w:r>
          </w:p>
        </w:tc>
        <w:tc>
          <w:tcPr>
            <w:tcW w:w="12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326</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43,1</w:t>
            </w:r>
          </w:p>
        </w:tc>
      </w:tr>
      <w:tr w:rsidR="007732E8" w:rsidRPr="007732E8" w:rsidTr="00F2626D">
        <w:tc>
          <w:tcPr>
            <w:tcW w:w="198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color w:val="000000"/>
                <w:sz w:val="28"/>
                <w:szCs w:val="28"/>
              </w:rPr>
              <w:t>II(26-35лет)</w:t>
            </w:r>
          </w:p>
        </w:tc>
        <w:tc>
          <w:tcPr>
            <w:tcW w:w="147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41</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16</w:t>
            </w:r>
          </w:p>
        </w:tc>
        <w:tc>
          <w:tcPr>
            <w:tcW w:w="12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101</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39,3</w:t>
            </w:r>
          </w:p>
        </w:tc>
        <w:tc>
          <w:tcPr>
            <w:tcW w:w="12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115</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44,7</w:t>
            </w:r>
          </w:p>
        </w:tc>
      </w:tr>
      <w:tr w:rsidR="007732E8" w:rsidRPr="007732E8" w:rsidTr="00F2626D">
        <w:tc>
          <w:tcPr>
            <w:tcW w:w="198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color w:val="000000"/>
                <w:sz w:val="28"/>
                <w:szCs w:val="28"/>
              </w:rPr>
              <w:t>III(36-45лет)</w:t>
            </w:r>
          </w:p>
        </w:tc>
        <w:tc>
          <w:tcPr>
            <w:tcW w:w="147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12</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5,5</w:t>
            </w:r>
          </w:p>
        </w:tc>
        <w:tc>
          <w:tcPr>
            <w:tcW w:w="12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59</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26,9</w:t>
            </w:r>
          </w:p>
        </w:tc>
        <w:tc>
          <w:tcPr>
            <w:tcW w:w="12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148</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67,6</w:t>
            </w:r>
          </w:p>
        </w:tc>
      </w:tr>
      <w:tr w:rsidR="007732E8" w:rsidRPr="007732E8" w:rsidTr="00F2626D">
        <w:tc>
          <w:tcPr>
            <w:tcW w:w="198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color w:val="000000"/>
                <w:sz w:val="28"/>
                <w:szCs w:val="28"/>
              </w:rPr>
              <w:t>IV(46-54лет)</w:t>
            </w:r>
          </w:p>
        </w:tc>
        <w:tc>
          <w:tcPr>
            <w:tcW w:w="147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24</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15</w:t>
            </w:r>
          </w:p>
        </w:tc>
        <w:tc>
          <w:tcPr>
            <w:tcW w:w="12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40</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25</w:t>
            </w:r>
          </w:p>
        </w:tc>
        <w:tc>
          <w:tcPr>
            <w:tcW w:w="12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96</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60</w:t>
            </w:r>
          </w:p>
        </w:tc>
      </w:tr>
      <w:tr w:rsidR="007732E8" w:rsidRPr="007732E8" w:rsidTr="00F2626D">
        <w:tc>
          <w:tcPr>
            <w:tcW w:w="198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color w:val="000000"/>
                <w:sz w:val="28"/>
                <w:szCs w:val="28"/>
              </w:rPr>
              <w:t>V(55-64лет)</w:t>
            </w:r>
          </w:p>
        </w:tc>
        <w:tc>
          <w:tcPr>
            <w:tcW w:w="147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34</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21,9</w:t>
            </w:r>
          </w:p>
        </w:tc>
        <w:tc>
          <w:tcPr>
            <w:tcW w:w="12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27</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14,2</w:t>
            </w:r>
          </w:p>
        </w:tc>
        <w:tc>
          <w:tcPr>
            <w:tcW w:w="12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99</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63,9</w:t>
            </w:r>
          </w:p>
        </w:tc>
      </w:tr>
      <w:tr w:rsidR="007732E8" w:rsidRPr="007732E8" w:rsidTr="00F2626D">
        <w:tc>
          <w:tcPr>
            <w:tcW w:w="198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color w:val="000000"/>
                <w:sz w:val="28"/>
                <w:szCs w:val="28"/>
              </w:rPr>
              <w:t>VI( свыше 65 лет)</w:t>
            </w:r>
          </w:p>
        </w:tc>
        <w:tc>
          <w:tcPr>
            <w:tcW w:w="147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13</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9,9</w:t>
            </w:r>
          </w:p>
        </w:tc>
        <w:tc>
          <w:tcPr>
            <w:tcW w:w="12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26</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19,8</w:t>
            </w:r>
          </w:p>
        </w:tc>
        <w:tc>
          <w:tcPr>
            <w:tcW w:w="1255"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92</w:t>
            </w:r>
          </w:p>
        </w:tc>
        <w:tc>
          <w:tcPr>
            <w:tcW w:w="125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70,2</w:t>
            </w:r>
          </w:p>
        </w:tc>
      </w:tr>
    </w:tbl>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Показатели Л</w:t>
      </w:r>
      <w:r w:rsidR="00F2626D">
        <w:rPr>
          <w:rFonts w:ascii="Times New Roman" w:eastAsia="Calibri" w:hAnsi="Times New Roman" w:cs="Times New Roman"/>
          <w:sz w:val="28"/>
          <w:szCs w:val="28"/>
        </w:rPr>
        <w:t>Т выглядели следующим образом (т</w:t>
      </w:r>
      <w:r w:rsidRPr="007732E8">
        <w:rPr>
          <w:rFonts w:ascii="Times New Roman" w:eastAsia="Calibri" w:hAnsi="Times New Roman" w:cs="Times New Roman"/>
          <w:sz w:val="28"/>
          <w:szCs w:val="28"/>
        </w:rPr>
        <w:t xml:space="preserve">аблица 3.3.2), так в 3 и 6 группах респондентов низкий уровень тревожности не был отмечен, т. е. </w:t>
      </w:r>
      <w:r w:rsidRPr="007732E8">
        <w:rPr>
          <w:rFonts w:ascii="Times New Roman" w:eastAsia="Calibri" w:hAnsi="Times New Roman" w:cs="Times New Roman"/>
          <w:sz w:val="28"/>
          <w:szCs w:val="28"/>
        </w:rPr>
        <w:lastRenderedPageBreak/>
        <w:t xml:space="preserve">составил </w:t>
      </w:r>
      <w:r w:rsidR="00F2626D">
        <w:rPr>
          <w:rFonts w:ascii="Times New Roman" w:eastAsia="Calibri" w:hAnsi="Times New Roman" w:cs="Times New Roman"/>
          <w:sz w:val="28"/>
          <w:szCs w:val="28"/>
        </w:rPr>
        <w:t>0</w:t>
      </w:r>
      <w:r w:rsidRPr="007732E8">
        <w:rPr>
          <w:rFonts w:ascii="Times New Roman" w:eastAsia="Calibri" w:hAnsi="Times New Roman" w:cs="Times New Roman"/>
          <w:sz w:val="28"/>
          <w:szCs w:val="28"/>
        </w:rPr>
        <w:t xml:space="preserve"> баллов. В других группах этот показатель существенно не отличался и варьировал от 6,2% (47 человек) в 1 группе до 19,8% (51 человек) во 2 группе.</w:t>
      </w:r>
    </w:p>
    <w:p w:rsidR="00343EA2" w:rsidRDefault="00343EA2" w:rsidP="00343EA2">
      <w:pPr>
        <w:spacing w:after="0" w:line="360" w:lineRule="auto"/>
        <w:ind w:firstLine="709"/>
        <w:jc w:val="both"/>
        <w:rPr>
          <w:rFonts w:ascii="Times New Roman" w:eastAsia="Calibri" w:hAnsi="Times New Roman" w:cs="Times New Roman"/>
          <w:sz w:val="28"/>
          <w:szCs w:val="28"/>
        </w:rPr>
      </w:pPr>
    </w:p>
    <w:p w:rsidR="007732E8" w:rsidRPr="007732E8" w:rsidRDefault="00F2626D" w:rsidP="00F2626D">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3.3.2 ‒</w:t>
      </w:r>
      <w:r w:rsidR="007732E8" w:rsidRPr="007732E8">
        <w:rPr>
          <w:rFonts w:ascii="Times New Roman" w:eastAsia="Calibri" w:hAnsi="Times New Roman" w:cs="Times New Roman"/>
          <w:sz w:val="28"/>
          <w:szCs w:val="28"/>
        </w:rPr>
        <w:t xml:space="preserve"> Показатели личностной тре</w:t>
      </w:r>
      <w:r>
        <w:rPr>
          <w:rFonts w:ascii="Times New Roman" w:eastAsia="Calibri" w:hAnsi="Times New Roman" w:cs="Times New Roman"/>
          <w:sz w:val="28"/>
          <w:szCs w:val="28"/>
        </w:rPr>
        <w:t>вожности в группах респондентов</w:t>
      </w:r>
    </w:p>
    <w:tbl>
      <w:tblPr>
        <w:tblStyle w:val="2"/>
        <w:tblW w:w="0" w:type="auto"/>
        <w:tblLook w:val="04A0" w:firstRow="1" w:lastRow="0" w:firstColumn="1" w:lastColumn="0" w:noHBand="0" w:noVBand="1"/>
      </w:tblPr>
      <w:tblGrid>
        <w:gridCol w:w="2095"/>
        <w:gridCol w:w="1475"/>
        <w:gridCol w:w="1258"/>
        <w:gridCol w:w="1255"/>
        <w:gridCol w:w="1258"/>
        <w:gridCol w:w="1255"/>
        <w:gridCol w:w="1258"/>
      </w:tblGrid>
      <w:tr w:rsidR="007732E8" w:rsidRPr="007732E8" w:rsidTr="007732E8">
        <w:tc>
          <w:tcPr>
            <w:tcW w:w="2127" w:type="dxa"/>
            <w:vMerge w:val="restart"/>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Группы респондентов</w:t>
            </w:r>
          </w:p>
        </w:tc>
        <w:tc>
          <w:tcPr>
            <w:tcW w:w="8216" w:type="dxa"/>
            <w:gridSpan w:val="6"/>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Уровень реактивной тревожности</w:t>
            </w:r>
          </w:p>
        </w:tc>
      </w:tr>
      <w:tr w:rsidR="007732E8" w:rsidRPr="007732E8" w:rsidTr="007732E8">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7732E8">
            <w:pPr>
              <w:rPr>
                <w:rFonts w:ascii="Times New Roman" w:hAnsi="Times New Roman"/>
                <w:iCs/>
                <w:sz w:val="28"/>
                <w:szCs w:val="28"/>
              </w:rPr>
            </w:pPr>
          </w:p>
        </w:tc>
        <w:tc>
          <w:tcPr>
            <w:tcW w:w="2904" w:type="dxa"/>
            <w:gridSpan w:val="2"/>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низкий</w:t>
            </w:r>
          </w:p>
        </w:tc>
        <w:tc>
          <w:tcPr>
            <w:tcW w:w="2656" w:type="dxa"/>
            <w:gridSpan w:val="2"/>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средний</w:t>
            </w:r>
          </w:p>
        </w:tc>
        <w:tc>
          <w:tcPr>
            <w:tcW w:w="2656" w:type="dxa"/>
            <w:gridSpan w:val="2"/>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высокий</w:t>
            </w:r>
          </w:p>
        </w:tc>
      </w:tr>
      <w:tr w:rsidR="007732E8" w:rsidRPr="007732E8" w:rsidTr="007732E8">
        <w:tc>
          <w:tcPr>
            <w:tcW w:w="0" w:type="auto"/>
            <w:vMerge/>
            <w:tcBorders>
              <w:top w:val="single" w:sz="4" w:space="0" w:color="auto"/>
              <w:left w:val="single" w:sz="4" w:space="0" w:color="auto"/>
              <w:bottom w:val="single" w:sz="4" w:space="0" w:color="auto"/>
              <w:right w:val="single" w:sz="4" w:space="0" w:color="auto"/>
            </w:tcBorders>
            <w:vAlign w:val="center"/>
            <w:hideMark/>
          </w:tcPr>
          <w:p w:rsidR="007732E8" w:rsidRPr="007732E8" w:rsidRDefault="007732E8" w:rsidP="007732E8">
            <w:pPr>
              <w:rPr>
                <w:rFonts w:ascii="Times New Roman" w:hAnsi="Times New Roman"/>
                <w:iCs/>
                <w:sz w:val="28"/>
                <w:szCs w:val="28"/>
              </w:rPr>
            </w:pPr>
          </w:p>
        </w:tc>
        <w:tc>
          <w:tcPr>
            <w:tcW w:w="157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абс.</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абс.</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абс.</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iCs/>
                <w:sz w:val="28"/>
                <w:szCs w:val="28"/>
              </w:rPr>
            </w:pPr>
            <w:r w:rsidRPr="007732E8">
              <w:rPr>
                <w:rFonts w:ascii="Times New Roman" w:hAnsi="Times New Roman"/>
                <w:iCs/>
                <w:sz w:val="28"/>
                <w:szCs w:val="28"/>
              </w:rPr>
              <w:t>%</w:t>
            </w:r>
          </w:p>
        </w:tc>
      </w:tr>
      <w:tr w:rsidR="007732E8" w:rsidRPr="007732E8" w:rsidTr="007732E8">
        <w:trPr>
          <w:trHeight w:val="54"/>
        </w:trPr>
        <w:tc>
          <w:tcPr>
            <w:tcW w:w="212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color w:val="000000"/>
                <w:sz w:val="28"/>
                <w:szCs w:val="28"/>
              </w:rPr>
              <w:t>I(17-25лет)</w:t>
            </w:r>
          </w:p>
        </w:tc>
        <w:tc>
          <w:tcPr>
            <w:tcW w:w="157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47</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6,2</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385</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51,1</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322</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42,7</w:t>
            </w:r>
          </w:p>
        </w:tc>
      </w:tr>
      <w:tr w:rsidR="007732E8" w:rsidRPr="007732E8" w:rsidTr="007732E8">
        <w:tc>
          <w:tcPr>
            <w:tcW w:w="212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color w:val="000000"/>
                <w:sz w:val="28"/>
                <w:szCs w:val="28"/>
              </w:rPr>
              <w:t>II(26-35лет)</w:t>
            </w:r>
          </w:p>
        </w:tc>
        <w:tc>
          <w:tcPr>
            <w:tcW w:w="157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51</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19,8</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120</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46,7</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86</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33,5</w:t>
            </w:r>
          </w:p>
        </w:tc>
      </w:tr>
      <w:tr w:rsidR="007732E8" w:rsidRPr="007732E8" w:rsidTr="007732E8">
        <w:tc>
          <w:tcPr>
            <w:tcW w:w="212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color w:val="000000"/>
                <w:sz w:val="28"/>
                <w:szCs w:val="28"/>
              </w:rPr>
              <w:t>III(36-45лет)</w:t>
            </w:r>
          </w:p>
        </w:tc>
        <w:tc>
          <w:tcPr>
            <w:tcW w:w="157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0</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0</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114</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52,1</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105</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47,9</w:t>
            </w:r>
          </w:p>
        </w:tc>
      </w:tr>
      <w:tr w:rsidR="007732E8" w:rsidRPr="007732E8" w:rsidTr="007732E8">
        <w:tc>
          <w:tcPr>
            <w:tcW w:w="212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color w:val="000000"/>
                <w:sz w:val="28"/>
                <w:szCs w:val="28"/>
              </w:rPr>
              <w:t>IV(46-54лет)</w:t>
            </w:r>
          </w:p>
        </w:tc>
        <w:tc>
          <w:tcPr>
            <w:tcW w:w="157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14</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15</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56</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35</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80</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50</w:t>
            </w:r>
          </w:p>
        </w:tc>
      </w:tr>
      <w:tr w:rsidR="007732E8" w:rsidRPr="007732E8" w:rsidTr="007732E8">
        <w:tc>
          <w:tcPr>
            <w:tcW w:w="212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color w:val="000000"/>
                <w:sz w:val="28"/>
                <w:szCs w:val="28"/>
              </w:rPr>
              <w:t>V(55-64лет)</w:t>
            </w:r>
          </w:p>
        </w:tc>
        <w:tc>
          <w:tcPr>
            <w:tcW w:w="157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11</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7,1</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56</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36,1</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88</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56,8</w:t>
            </w:r>
          </w:p>
        </w:tc>
      </w:tr>
      <w:tr w:rsidR="007732E8" w:rsidRPr="007732E8" w:rsidTr="007732E8">
        <w:tc>
          <w:tcPr>
            <w:tcW w:w="2127"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color w:val="000000"/>
                <w:sz w:val="28"/>
                <w:szCs w:val="28"/>
              </w:rPr>
              <w:t>VI( свыше 65 лет)</w:t>
            </w:r>
          </w:p>
        </w:tc>
        <w:tc>
          <w:tcPr>
            <w:tcW w:w="1576"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0</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0</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78</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59,5</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53</w:t>
            </w:r>
          </w:p>
        </w:tc>
        <w:tc>
          <w:tcPr>
            <w:tcW w:w="1328" w:type="dxa"/>
            <w:tcBorders>
              <w:top w:val="single" w:sz="4" w:space="0" w:color="auto"/>
              <w:left w:val="single" w:sz="4" w:space="0" w:color="auto"/>
              <w:bottom w:val="single" w:sz="4" w:space="0" w:color="auto"/>
              <w:right w:val="single" w:sz="4" w:space="0" w:color="auto"/>
            </w:tcBorders>
            <w:hideMark/>
          </w:tcPr>
          <w:p w:rsidR="007732E8" w:rsidRPr="007732E8" w:rsidRDefault="007732E8" w:rsidP="007732E8">
            <w:pPr>
              <w:spacing w:line="360" w:lineRule="auto"/>
              <w:jc w:val="both"/>
              <w:rPr>
                <w:rFonts w:ascii="Times New Roman" w:hAnsi="Times New Roman"/>
                <w:sz w:val="28"/>
                <w:szCs w:val="28"/>
              </w:rPr>
            </w:pPr>
            <w:r w:rsidRPr="007732E8">
              <w:rPr>
                <w:rFonts w:ascii="Times New Roman" w:hAnsi="Times New Roman"/>
                <w:sz w:val="28"/>
                <w:szCs w:val="28"/>
              </w:rPr>
              <w:t>40,5</w:t>
            </w:r>
          </w:p>
        </w:tc>
      </w:tr>
    </w:tbl>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Средний уровень ЛТ составил соответственно: в 1 группе - 51,1% (385 человек); во 2 группе - 46,7% (120 человек); в 3 группе - 52,1% (114 человек); в 4 группе - 35% (56 человек); в 5 группе - 36,1% (56 человек) и в 6 группе - 59% (78 человек). Высокий уровень л1 в группе респондентов не имел существенных различий и составил 33,5% (86 человек) во 2 группе до 56,8% (88 человек) в 5 группе.</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РТ в зависимости от пола практически не имела значимых различии. Так, среди женщин низкий уровень тревожности отмечен у 12,4% (139 женщин), соответственно, средний уровень - 32,4% (364 женщины), а высокий - 55,2% (621 женщина).Среди мужчин эти показатели составили соответственно - 17,5% (98 мужчин), 33,0% (199 мужчин) и 46,9% (262 мужчин).</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Показатели ЛТ среди женщин выглядели следующим образом: низкий уровень у 4,4% (50 женщин), средний у 40,7%( 567 женщин и высокий - у 45,9% (524 женщины).Среди мужчин эти показатели соответственно составили: </w:t>
      </w:r>
      <w:r w:rsidRPr="007732E8">
        <w:rPr>
          <w:rFonts w:ascii="Times New Roman" w:eastAsia="Calibri" w:hAnsi="Times New Roman" w:cs="Times New Roman"/>
          <w:sz w:val="28"/>
          <w:szCs w:val="28"/>
        </w:rPr>
        <w:lastRenderedPageBreak/>
        <w:t>низкий У 15,9% (83мужчины), средний - У 42,0% (244 мужчины) и высокий - у 38,9% (206 мужчин).</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Далее рассмотрим зависимость уровня реактивной тревожности от основного источника информации (Рисунок 3.3.4.). Большая часть людей, выбравшая в качестве основного источника информации социальные сети, оказалась с высоким уровнем реактивной тревожности (70%). В этой же категории оказалось в 1,5 раза меньше людей с низким уровнем тревожности.  Больше трети респондентов (35%) с низким уровнем тревожности оказалась в группе, чьим основным источником информации были официальные новостные порталы. В этой же категории респондентов с высоким уровнем реактивной тревожности было почти в 2 раза меньше.</w:t>
      </w: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Times New Roman" w:eastAsia="Calibri" w:hAnsi="Times New Roman" w:cs="Times New Roman"/>
          <w:noProof/>
          <w:sz w:val="28"/>
          <w:szCs w:val="28"/>
          <w:lang w:eastAsia="ru-RU"/>
        </w:rPr>
        <w:drawing>
          <wp:inline distT="0" distB="0" distL="0" distR="0" wp14:anchorId="766CA953" wp14:editId="41A8C060">
            <wp:extent cx="5737860" cy="2766060"/>
            <wp:effectExtent l="0" t="0" r="15240" b="1524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F2626D">
        <w:rPr>
          <w:rFonts w:ascii="Times New Roman" w:eastAsia="Calibri" w:hAnsi="Times New Roman" w:cs="Times New Roman"/>
          <w:sz w:val="28"/>
          <w:szCs w:val="28"/>
        </w:rPr>
        <w:t>Рисунок 3.3.4 ‒</w:t>
      </w:r>
      <w:r w:rsidRPr="007732E8">
        <w:rPr>
          <w:rFonts w:ascii="Times New Roman" w:eastAsia="Calibri" w:hAnsi="Times New Roman" w:cs="Times New Roman"/>
          <w:sz w:val="28"/>
          <w:szCs w:val="28"/>
        </w:rPr>
        <w:t xml:space="preserve"> Корреляция между уровнем реактивной тревожности и основным источником информации</w:t>
      </w:r>
      <w:r w:rsidR="00F2626D">
        <w:rPr>
          <w:rFonts w:ascii="Times New Roman" w:eastAsia="Calibri" w:hAnsi="Times New Roman" w:cs="Times New Roman"/>
          <w:sz w:val="28"/>
          <w:szCs w:val="28"/>
        </w:rPr>
        <w:t>.</w:t>
      </w: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Исследования указывают на существенное воздействие развития эпидемии COVID-19 на психоэмоциональное состояние людей разных возрастных групп. Принятые меры профилактики оказались схожими во всех группах населения, и информация об эпидемии поступала из одних и тех же источников. Анализ ответов респондентов выявил прямую корреляцию между уровнем информированности об инфекции и уровнем тревожности (г = +0,55). </w:t>
      </w:r>
      <w:r w:rsidRPr="007732E8">
        <w:rPr>
          <w:rFonts w:ascii="Times New Roman" w:eastAsia="Calibri" w:hAnsi="Times New Roman" w:cs="Times New Roman"/>
          <w:sz w:val="28"/>
          <w:szCs w:val="28"/>
        </w:rPr>
        <w:lastRenderedPageBreak/>
        <w:t>Также выявлена корреляция между процентным увеличением хронических заболеваний и уровнем реактивной и личностной тревожности (г = +0,61; г = +0,59). Результаты по тревожным расстройствам указывают на особенности в зависимости от возрастной категории респондентов. Например, самый низкий уровень РТ наблюдается в возрастных группах 36-45 лет и старше 65 лет, но при этом в этих же группах отмечается самый высокий уровень РТ. Различия в психическом и эмоциональном статусе данных респондентов представляются важными. Увеличение тревожности связано с перспективой распространения эпидемии, беспокойством о близких, а социальные сети играют существенную роль в формировании восприятия информации. Надежные источники информации снижают тревожность, в то время как дезинформация и устрашающие новости увеличивают ее уровень. Нехватка медицинских ресурсов и высокие цены на лекарства в Кыргызстане вызвали панику и тревогу, что подчеркивает важность адекватной информационной работы в период пандемии. Вероятно, продолжительное тревожное состояние может усугубить психические нарушения у респондентов независимо от пола.</w:t>
      </w:r>
    </w:p>
    <w:p w:rsidR="00343EA2" w:rsidRPr="00343EA2" w:rsidRDefault="00343EA2" w:rsidP="00F2626D">
      <w:pPr>
        <w:spacing w:after="0" w:line="360" w:lineRule="auto"/>
        <w:ind w:firstLine="567"/>
        <w:jc w:val="both"/>
        <w:rPr>
          <w:rFonts w:ascii="Times New Roman" w:eastAsia="Calibri" w:hAnsi="Times New Roman" w:cs="Times New Roman"/>
          <w:b/>
          <w:sz w:val="28"/>
          <w:szCs w:val="28"/>
        </w:rPr>
      </w:pPr>
      <w:r w:rsidRPr="00343EA2">
        <w:rPr>
          <w:rFonts w:ascii="Times New Roman" w:eastAsia="Calibri" w:hAnsi="Times New Roman" w:cs="Times New Roman"/>
          <w:b/>
          <w:bCs/>
          <w:sz w:val="28"/>
          <w:szCs w:val="28"/>
        </w:rPr>
        <w:t>Резюме</w:t>
      </w:r>
    </w:p>
    <w:p w:rsidR="00343EA2" w:rsidRPr="00343EA2" w:rsidRDefault="00343EA2" w:rsidP="00F2626D">
      <w:pPr>
        <w:spacing w:after="0" w:line="360" w:lineRule="auto"/>
        <w:ind w:firstLine="567"/>
        <w:jc w:val="both"/>
        <w:rPr>
          <w:rFonts w:ascii="Times New Roman" w:eastAsia="Calibri" w:hAnsi="Times New Roman" w:cs="Times New Roman"/>
          <w:sz w:val="28"/>
          <w:szCs w:val="28"/>
        </w:rPr>
      </w:pPr>
      <w:r w:rsidRPr="00343EA2">
        <w:rPr>
          <w:rFonts w:ascii="Times New Roman" w:eastAsia="Calibri" w:hAnsi="Times New Roman" w:cs="Times New Roman"/>
          <w:sz w:val="28"/>
          <w:szCs w:val="28"/>
        </w:rPr>
        <w:t>Исследование описывает показатели ментального здоровья у пациентов с COVID-19, проживающих в Кыргызской Республике. Основные выводы показывают, что тревожность увеличивалась с возрастом и была связана с наличием хронических заболеваний. Высокий уровень тревожности (РТ и ЛТ) чаще наблюдался у пожилых людей, особенно старше 65 лет.</w:t>
      </w:r>
      <w:r>
        <w:rPr>
          <w:rFonts w:ascii="Times New Roman" w:eastAsia="Calibri" w:hAnsi="Times New Roman" w:cs="Times New Roman"/>
          <w:sz w:val="28"/>
          <w:szCs w:val="28"/>
        </w:rPr>
        <w:t xml:space="preserve"> </w:t>
      </w:r>
      <w:r w:rsidRPr="00343EA2">
        <w:rPr>
          <w:rFonts w:ascii="Times New Roman" w:eastAsia="Calibri" w:hAnsi="Times New Roman" w:cs="Times New Roman"/>
          <w:sz w:val="28"/>
          <w:szCs w:val="28"/>
        </w:rPr>
        <w:t>На тревожность также влияли источники информации. Социальные сети, где часто распространялись устрашающие новости, способствовали повышенной тревожности (до 70% респондентов), тогда как официальные новостные порталы имели обратный эффект. В целом, пациенты всех возрастных групп применяли схожие меры профилактики, такие как самоизоляция и соблюдение личной гигиены.</w:t>
      </w:r>
      <w:r>
        <w:rPr>
          <w:rFonts w:ascii="Times New Roman" w:eastAsia="Calibri" w:hAnsi="Times New Roman" w:cs="Times New Roman"/>
          <w:sz w:val="28"/>
          <w:szCs w:val="28"/>
        </w:rPr>
        <w:t xml:space="preserve"> </w:t>
      </w:r>
      <w:r w:rsidRPr="00343EA2">
        <w:rPr>
          <w:rFonts w:ascii="Times New Roman" w:eastAsia="Calibri" w:hAnsi="Times New Roman" w:cs="Times New Roman"/>
          <w:sz w:val="28"/>
          <w:szCs w:val="28"/>
        </w:rPr>
        <w:t xml:space="preserve">Результаты показывают, что недостаток медицинских ресурсов и высокая стоимость лекарств в стране усугубляли тревогу среди населения. Продолжительное состояние тревожности может привести к </w:t>
      </w:r>
      <w:r w:rsidRPr="00343EA2">
        <w:rPr>
          <w:rFonts w:ascii="Times New Roman" w:eastAsia="Calibri" w:hAnsi="Times New Roman" w:cs="Times New Roman"/>
          <w:sz w:val="28"/>
          <w:szCs w:val="28"/>
        </w:rPr>
        <w:lastRenderedPageBreak/>
        <w:t>ухудшению психического здоровья, независимо от пола, что подчеркивает важность адекватной информационной работы и психологической поддержки в условиях пандемии.</w:t>
      </w:r>
    </w:p>
    <w:p w:rsidR="00343EA2" w:rsidRDefault="00343EA2" w:rsidP="00F2626D">
      <w:pPr>
        <w:spacing w:after="0" w:line="360" w:lineRule="auto"/>
        <w:ind w:firstLine="567"/>
        <w:jc w:val="both"/>
        <w:rPr>
          <w:rFonts w:ascii="Times New Roman" w:eastAsia="Calibri" w:hAnsi="Times New Roman" w:cs="Times New Roman"/>
          <w:b/>
          <w:sz w:val="28"/>
          <w:szCs w:val="28"/>
        </w:rPr>
      </w:pPr>
    </w:p>
    <w:p w:rsidR="007732E8" w:rsidRPr="007732E8" w:rsidRDefault="007732E8" w:rsidP="00F2626D">
      <w:pPr>
        <w:spacing w:after="0" w:line="360" w:lineRule="auto"/>
        <w:ind w:firstLine="567"/>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3.4. Концепция дисбаланса ангиотензиновой системы в изучаемых регионах. </w:t>
      </w:r>
    </w:p>
    <w:p w:rsidR="007732E8" w:rsidRPr="007732E8" w:rsidRDefault="007732E8" w:rsidP="00F2626D">
      <w:pPr>
        <w:spacing w:after="0" w:line="360" w:lineRule="auto"/>
        <w:ind w:firstLine="567"/>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3.4.1. Общая концепция причинно-следственных связей возникновения патофизиологических механизмов в аспекте настоящего исследования. </w:t>
      </w:r>
    </w:p>
    <w:p w:rsidR="007732E8" w:rsidRPr="007732E8" w:rsidRDefault="007732E8" w:rsidP="00F2626D">
      <w:pPr>
        <w:spacing w:after="0" w:line="360" w:lineRule="auto"/>
        <w:ind w:firstLine="567"/>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Обобщая, особенности проявления COVID-19 в исследуемого когортах, мы использовали методику согласования причинно-следственных связей Исикавы (модель «рыбьих костей») для более полного и завершенного отражения полученных результатов в ходе исследования. Так, нами получены пять основных блоков изменений (Рисунок 3.4.1.1.): </w:t>
      </w:r>
    </w:p>
    <w:p w:rsidR="007732E8" w:rsidRPr="007732E8" w:rsidRDefault="007732E8" w:rsidP="00F2626D">
      <w:pPr>
        <w:spacing w:after="0" w:line="360" w:lineRule="auto"/>
        <w:ind w:firstLine="567"/>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Блок 1. Особенности клинико-лабораторного проявления COVID-19 в условиях высокогорья. По нашим наблюдениям, параметры их трендовые дисперсии и анализа литературы, привели к заключению связанности природы особенности реализации эффекта ангиотензина II, а именно с диспропорционально дефицитом контррегуляции со стороны АПФ2. </w:t>
      </w:r>
    </w:p>
    <w:p w:rsidR="007732E8" w:rsidRPr="007732E8" w:rsidRDefault="007732E8" w:rsidP="00F2626D">
      <w:pPr>
        <w:spacing w:after="0" w:line="360" w:lineRule="auto"/>
        <w:ind w:firstLine="567"/>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Блок 2. Особенности течения и проявления воспалительной реакции у жителей высокогорья, по нашему мнению связано с продукцией дополнительного ангиотензина II, за счёт выработки ИЛ-6, как триггерного элемента системе ангиотензиновой регуляции, в сочетании с дефицитом АПФ2, реализация воспалительного эффекта происходит за счёт взаимодействия ангиотензина II с рецепторами ангиотензина 1 типа на мембранах пневмоцитов. Помимо вышесказанного, происходит активация каскадных реакций ПОЛ, через выработку фосфолипаза C, под действием ангиотензина II и слабостью контур регуляции посредством АПФ2. Также роль в установлении, стойкого воспалительного процесса, могло сыграть – неактивность Mas-рецепторов на пневмоцитах, ввиду дефицита АПФ2. Блок 3. Активность свёртывающей </w:t>
      </w:r>
      <w:r w:rsidRPr="007732E8">
        <w:rPr>
          <w:rFonts w:ascii="Times New Roman" w:eastAsia="Calibri" w:hAnsi="Times New Roman" w:cs="Times New Roman"/>
          <w:sz w:val="28"/>
          <w:szCs w:val="28"/>
        </w:rPr>
        <w:lastRenderedPageBreak/>
        <w:t xml:space="preserve">системы крови исследуемых из высокогорного региона, обуславливается: а) прямым повреждением эндотелия ИЛ-6; б) повышенным АД и увеличением сопротивляемости сосудистой стенки в под воздействием ангиотензина II и дефицита АПФ 2, что дестабилизирует регуляторные и контррегуляторные механизмы ангиотензиновой системы; в) дефицитом взаимодействие АПФ2 с Mas-рецепторами тромбоцитов, что вызывает дополнительную агрегацию последних. Блок 4. Изолированный дисбаланс электролитов у пациентов COVID-19 высокогорных условиях. Виду, изменения показателей натрия и калия в крови пациентов, мы полагаем что данные проявления связанные с дизрегуляцией РААС при COVID-19. </w:t>
      </w:r>
    </w:p>
    <w:p w:rsidR="007732E8" w:rsidRPr="007732E8" w:rsidRDefault="007732E8" w:rsidP="00F2626D">
      <w:pPr>
        <w:spacing w:after="0" w:line="360" w:lineRule="auto"/>
        <w:ind w:firstLine="567"/>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Блок 5. Ментальное состояние здоровья у исследуемой групп, проявили себя хуже у исследуемых из высокогорного региона. Так, повышение концентрации ангиотензина II и реализации эффекта посредством взаимодействия с ангиотензинвыми рецепторами 1 типа, стимулирует механизм стресса и реактивность симпатической нервной системы, вызывая сдвиги в описанных показателях.</w:t>
      </w: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7732E8">
      <w:pPr>
        <w:spacing w:after="0" w:line="360" w:lineRule="auto"/>
        <w:rPr>
          <w:rFonts w:ascii="Times New Roman" w:eastAsia="Calibri" w:hAnsi="Times New Roman" w:cs="Times New Roman"/>
          <w:sz w:val="28"/>
          <w:szCs w:val="28"/>
        </w:rPr>
        <w:sectPr w:rsidR="007732E8" w:rsidRPr="007732E8" w:rsidSect="007C004C">
          <w:pgSz w:w="11906" w:h="16838"/>
          <w:pgMar w:top="1134" w:right="567" w:bottom="1134" w:left="1701" w:header="708" w:footer="708" w:gutter="0"/>
          <w:cols w:space="720"/>
        </w:sectPr>
      </w:pPr>
    </w:p>
    <w:p w:rsidR="007732E8" w:rsidRPr="007732E8" w:rsidRDefault="007732E8" w:rsidP="007732E8">
      <w:pPr>
        <w:spacing w:after="0" w:line="360" w:lineRule="auto"/>
        <w:jc w:val="both"/>
        <w:rPr>
          <w:rFonts w:ascii="Times New Roman" w:eastAsia="Calibri" w:hAnsi="Times New Roman" w:cs="Times New Roman"/>
          <w:sz w:val="28"/>
          <w:szCs w:val="28"/>
        </w:rPr>
      </w:pPr>
      <w:r w:rsidRPr="007732E8">
        <w:rPr>
          <w:rFonts w:ascii="Calibri" w:eastAsia="Calibri" w:hAnsi="Calibri" w:cs="Times New Roman"/>
          <w:noProof/>
          <w:lang w:eastAsia="ru-RU"/>
        </w:rPr>
        <w:lastRenderedPageBreak/>
        <w:drawing>
          <wp:inline distT="0" distB="0" distL="0" distR="0" wp14:anchorId="01E8FA05" wp14:editId="61CC4ECE">
            <wp:extent cx="8945880" cy="5402580"/>
            <wp:effectExtent l="0" t="0" r="7620" b="762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l="8537" t="9326" r="11134" b="4416"/>
                    <a:stretch>
                      <a:fillRect/>
                    </a:stretch>
                  </pic:blipFill>
                  <pic:spPr bwMode="auto">
                    <a:xfrm>
                      <a:off x="0" y="0"/>
                      <a:ext cx="8945880" cy="5402580"/>
                    </a:xfrm>
                    <a:prstGeom prst="rect">
                      <a:avLst/>
                    </a:prstGeom>
                    <a:noFill/>
                    <a:ln>
                      <a:noFill/>
                    </a:ln>
                  </pic:spPr>
                </pic:pic>
              </a:graphicData>
            </a:graphic>
          </wp:inline>
        </w:drawing>
      </w: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Times New Roman" w:eastAsia="Calibri" w:hAnsi="Times New Roman" w:cs="Times New Roman"/>
          <w:sz w:val="28"/>
          <w:szCs w:val="28"/>
        </w:rPr>
        <w:t>Рисунок 3.4.1.1</w:t>
      </w:r>
      <w:r w:rsidR="00F2626D">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Модель причинно-следственных связей Исикавы, формирования особенностей патофизиологических механизмов при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 у исследуемых в условиях высокогорья.</w:t>
      </w:r>
    </w:p>
    <w:p w:rsidR="007732E8" w:rsidRPr="007732E8" w:rsidRDefault="007732E8" w:rsidP="007732E8">
      <w:pPr>
        <w:spacing w:after="0" w:line="360" w:lineRule="auto"/>
        <w:rPr>
          <w:rFonts w:ascii="Times New Roman" w:eastAsia="Calibri" w:hAnsi="Times New Roman" w:cs="Times New Roman"/>
          <w:sz w:val="28"/>
          <w:szCs w:val="28"/>
        </w:rPr>
        <w:sectPr w:rsidR="007732E8" w:rsidRPr="007732E8" w:rsidSect="007C004C">
          <w:pgSz w:w="16838" w:h="11906" w:orient="landscape"/>
          <w:pgMar w:top="1134" w:right="567" w:bottom="1134" w:left="1701" w:header="709" w:footer="709" w:gutter="0"/>
          <w:cols w:space="720"/>
        </w:sectPr>
      </w:pPr>
    </w:p>
    <w:p w:rsidR="007732E8" w:rsidRPr="007732E8" w:rsidRDefault="007732E8" w:rsidP="00343EA2">
      <w:pPr>
        <w:spacing w:after="0" w:line="360" w:lineRule="auto"/>
        <w:ind w:firstLine="709"/>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lastRenderedPageBreak/>
        <w:t xml:space="preserve">3.4.2. Общая концепция реализации патофизиологических механизмов при </w:t>
      </w:r>
      <w:r w:rsidRPr="007732E8">
        <w:rPr>
          <w:rFonts w:ascii="Times New Roman" w:eastAsia="Calibri" w:hAnsi="Times New Roman" w:cs="Times New Roman"/>
          <w:b/>
          <w:sz w:val="28"/>
          <w:szCs w:val="28"/>
          <w:lang w:val="en-US"/>
        </w:rPr>
        <w:t>COVID</w:t>
      </w:r>
      <w:r w:rsidRPr="007732E8">
        <w:rPr>
          <w:rFonts w:ascii="Times New Roman" w:eastAsia="Calibri" w:hAnsi="Times New Roman" w:cs="Times New Roman"/>
          <w:b/>
          <w:sz w:val="28"/>
          <w:szCs w:val="28"/>
        </w:rPr>
        <w:t>-19.</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Общая картина влияния SARS-CoV-2 на ангиотензиновую систему, состоит из трёх осей (Рисунок 3.4.2.1.):</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А) Ось: АПФ - Ангиотензин II - Рецептор ангиотензина 1 типа. Данная ось относится к регуляторному механизму релизации ангиотензинов в норме. Основной путь реализации осуществляется через ангиотензиновые рецепторы 1 типа. Активация данного рецепта, приводит к запуску РААС;  механизмов взаимодействия с нейромедиаторами; влияние на активацию фосфолипазы и на гладкую мускулатуру сосудистой стенки. Таким образом, SARS-CoV-2, вызывая рост ИЛ-6, посредством последней, стимулирует выработку ангиотензина II с последующей реализацией регуляторного механизма при условиях дефицита контррегуляторной оси.</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Б) Ось: АПФ2 - Ангиотензин 1-7 - Рецептор ангиотензина 2 типа. Данная ось реализует основные позитивные эффекты контррегуляторной системы, которым относятся снижение артериального давления, снижение воздействия на симпатическую нервную систему, улучшение реологических свойств крови и др. При вмешательстве SARS-CoV-2, в систему, происходит погружение АПФ2 в клетку вместе с вирусной единицей, что вызывает дефицит последней и определяет последующее ослабление описываемое оси.</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В) Ось: АПФ2 - Ангиотензин 1-7 - Mas-рецептор.  Mas-рецепторы располагаются на мембранах тромбоцитов, при взаимодействии с которыми ангиотензин 1-7 уменьшает их способность к агрегации, тем самым улучшая реологические свойства крови. Mas-рецепторы, на мембранах пневмоцитра, активируют резервные возможности указанных клеток, тем самым осуществляя их протекцию от апоптоза и гибели от внешних факторов. При COVID-19, снижается активность описываемой оси, тем самым снижаются возможности пневмоцитов к протекции и увеличивая агрегатную способность тромбоцитов что ведёт к отягощением состояние организма.</w:t>
      </w: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Calibri" w:eastAsia="Calibri" w:hAnsi="Calibri" w:cs="Times New Roman"/>
          <w:noProof/>
          <w:lang w:eastAsia="ru-RU"/>
        </w:rPr>
        <w:lastRenderedPageBreak/>
        <w:drawing>
          <wp:inline distT="0" distB="0" distL="0" distR="0" wp14:anchorId="75F82F7E" wp14:editId="4D42F2E1">
            <wp:extent cx="5669280" cy="3558540"/>
            <wp:effectExtent l="0" t="0" r="7620" b="381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l="15961" t="9862" r="17599" b="15883"/>
                    <a:stretch>
                      <a:fillRect/>
                    </a:stretch>
                  </pic:blipFill>
                  <pic:spPr bwMode="auto">
                    <a:xfrm>
                      <a:off x="0" y="0"/>
                      <a:ext cx="5669280" cy="3558540"/>
                    </a:xfrm>
                    <a:prstGeom prst="rect">
                      <a:avLst/>
                    </a:prstGeom>
                    <a:noFill/>
                    <a:ln>
                      <a:noFill/>
                    </a:ln>
                  </pic:spPr>
                </pic:pic>
              </a:graphicData>
            </a:graphic>
          </wp:inline>
        </w:drawing>
      </w: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Times New Roman" w:eastAsia="Calibri" w:hAnsi="Times New Roman" w:cs="Times New Roman"/>
          <w:sz w:val="28"/>
          <w:szCs w:val="28"/>
        </w:rPr>
        <w:t>Рисунок 3.4.2.1</w:t>
      </w:r>
      <w:r w:rsidR="00F2626D">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Общий механизм дисбаланса регуляторной и контррегуляторной функции ангиотензиновой системы.</w:t>
      </w:r>
    </w:p>
    <w:p w:rsidR="007732E8" w:rsidRPr="007732E8" w:rsidRDefault="007732E8" w:rsidP="007732E8">
      <w:pPr>
        <w:spacing w:after="0" w:line="360" w:lineRule="auto"/>
        <w:jc w:val="center"/>
        <w:rPr>
          <w:rFonts w:ascii="Times New Roman" w:eastAsia="Calibri" w:hAnsi="Times New Roman" w:cs="Times New Roman"/>
          <w:sz w:val="28"/>
          <w:szCs w:val="28"/>
        </w:rPr>
      </w:pPr>
    </w:p>
    <w:p w:rsidR="007732E8" w:rsidRPr="007732E8" w:rsidRDefault="007732E8" w:rsidP="00343EA2">
      <w:pPr>
        <w:spacing w:after="0" w:line="360" w:lineRule="auto"/>
        <w:ind w:firstLine="709"/>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3.4.3. Концепция становления патофизиологического процесса воспаления в условиях высокогорья. </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Воспалительный механизм, развивший свойства стойкости и продолжительности в условиях высокогорного климата, объясняется  непосредственным участием ангиотензина II в воспалении (Рисунок 3.4.3.1.). </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Так ангиотензин II, связываясь с ангиотензиновым рецептором 1 типа на мембранах пневмоцитра, вызывает дисфункцию последних, создавая дополнительную интоксикацию, с последующим привлечением иммунных клеток в очаг воспаления. Параллельно с указанным выше, ангиотензин II активирует пролиферацию лимфоцитов, что проявляется в сравниваемых когортах. Отмечая вышеуказанное, мы имеем, непосредственную роль ангиотензина II в инициировании и поддержании воспаления. Следует добавить, стимулирование цитокиновых выбросов ангиотензином II, которые в последующем участвуют и в поддержании воспаление, и в синтезе ангиотензина II, тем самым формируя порочный круг. Активация фосфолипазы </w:t>
      </w:r>
      <w:r w:rsidRPr="007732E8">
        <w:rPr>
          <w:rFonts w:ascii="Times New Roman" w:eastAsia="Calibri" w:hAnsi="Times New Roman" w:cs="Times New Roman"/>
          <w:sz w:val="28"/>
          <w:szCs w:val="28"/>
        </w:rPr>
        <w:lastRenderedPageBreak/>
        <w:t xml:space="preserve">С ангиотензином II, приводит к запуску каскадных реакций перекислого окисления липидов, что также играет роль в активации и поддержание воспалительного процесса. Дефицит АПФ2, свою очередь, ослабляет компенсацию через активацию Mas-рецепторов на мембранах пневмоцитов, что тормозит стабилизацию состояния в аспекте воспалительной реакции. Таким образом, вызываемая первичная воспаление при COVID-19, уже имеет дополнительные фон, упрощающий дальнейшее развитие заболевания в условиях гипоксической гипоксии. Дисбаланс происходит в сторону эффектов ангиотензиновых рецепторов 1 типа, в сочетании с ослаблением Mas-рецепторных путей стабилизации. Также виду дефицита АПФ2, снижается конкурентность за рецепторы брадикинина, тем самым реализуется негативный эффект последнего </w:t>
      </w:r>
      <w:r w:rsidRPr="007732E8">
        <w:rPr>
          <w:rFonts w:ascii="Calibri" w:eastAsia="Calibri" w:hAnsi="Calibri" w:cs="Times New Roman"/>
          <w:noProof/>
          <w:lang w:eastAsia="ru-RU"/>
        </w:rPr>
        <w:drawing>
          <wp:anchor distT="0" distB="0" distL="114300" distR="114300" simplePos="0" relativeHeight="251663360" behindDoc="0" locked="0" layoutInCell="1" allowOverlap="1" wp14:anchorId="1C6C7031" wp14:editId="0718C219">
            <wp:simplePos x="0" y="0"/>
            <wp:positionH relativeFrom="margin">
              <wp:posOffset>325755</wp:posOffset>
            </wp:positionH>
            <wp:positionV relativeFrom="paragraph">
              <wp:posOffset>3878580</wp:posOffset>
            </wp:positionV>
            <wp:extent cx="5584825" cy="4114800"/>
            <wp:effectExtent l="0" t="0" r="0" b="0"/>
            <wp:wrapSquare wrapText="bothSides"/>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l="22185" t="12074" r="22346" b="15271"/>
                    <a:stretch>
                      <a:fillRect/>
                    </a:stretch>
                  </pic:blipFill>
                  <pic:spPr bwMode="auto">
                    <a:xfrm>
                      <a:off x="0" y="0"/>
                      <a:ext cx="5584825" cy="4114800"/>
                    </a:xfrm>
                    <a:prstGeom prst="rect">
                      <a:avLst/>
                    </a:prstGeom>
                    <a:noFill/>
                  </pic:spPr>
                </pic:pic>
              </a:graphicData>
            </a:graphic>
            <wp14:sizeRelH relativeFrom="margin">
              <wp14:pctWidth>0</wp14:pctWidth>
            </wp14:sizeRelH>
            <wp14:sizeRelV relativeFrom="margin">
              <wp14:pctHeight>0</wp14:pctHeight>
            </wp14:sizeRelV>
          </wp:anchor>
        </w:drawing>
      </w:r>
      <w:r w:rsidRPr="007732E8">
        <w:rPr>
          <w:rFonts w:ascii="Times New Roman" w:eastAsia="Calibri" w:hAnsi="Times New Roman" w:cs="Times New Roman"/>
          <w:sz w:val="28"/>
          <w:szCs w:val="28"/>
        </w:rPr>
        <w:t>при взаимодействии с рецепторами В1.</w:t>
      </w: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Times New Roman" w:eastAsia="Calibri" w:hAnsi="Times New Roman" w:cs="Times New Roman"/>
          <w:sz w:val="28"/>
          <w:szCs w:val="28"/>
        </w:rPr>
        <w:br w:type="textWrapping" w:clear="all"/>
      </w:r>
      <w:r w:rsidR="00F2626D">
        <w:rPr>
          <w:rFonts w:ascii="Times New Roman" w:eastAsia="Calibri" w:hAnsi="Times New Roman" w:cs="Times New Roman"/>
          <w:sz w:val="28"/>
          <w:szCs w:val="28"/>
        </w:rPr>
        <w:t>Рисунок 3.4.3.1 ‒</w:t>
      </w:r>
      <w:r w:rsidRPr="007732E8">
        <w:rPr>
          <w:rFonts w:ascii="Times New Roman" w:eastAsia="Calibri" w:hAnsi="Times New Roman" w:cs="Times New Roman"/>
          <w:sz w:val="28"/>
          <w:szCs w:val="28"/>
        </w:rPr>
        <w:t xml:space="preserve"> Механизм становления воспалительной реакции в условиях гипоксической гипоксии.</w:t>
      </w:r>
    </w:p>
    <w:p w:rsidR="007732E8" w:rsidRPr="007732E8" w:rsidRDefault="007732E8" w:rsidP="007732E8">
      <w:pPr>
        <w:spacing w:after="0" w:line="360" w:lineRule="auto"/>
        <w:jc w:val="center"/>
        <w:rPr>
          <w:rFonts w:ascii="Times New Roman" w:eastAsia="Calibri" w:hAnsi="Times New Roman" w:cs="Times New Roman"/>
          <w:sz w:val="28"/>
          <w:szCs w:val="28"/>
        </w:rPr>
      </w:pPr>
    </w:p>
    <w:p w:rsidR="007732E8" w:rsidRPr="007732E8" w:rsidRDefault="007732E8" w:rsidP="00343EA2">
      <w:pPr>
        <w:spacing w:after="0" w:line="360" w:lineRule="auto"/>
        <w:ind w:firstLine="709"/>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lastRenderedPageBreak/>
        <w:t>3.4.4. Концепция патофизиологических механизмов формирования активности свертывающей системы крови в условиях высокогорья.</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Свертывающей система крови, как один из патогенетических звеньев развития COVID-19, имеющие неоднозначную природу, в условиях высокогорной гипоксии, проявляет ряд особенностей описанных таблицах икс икс и рисунке икс икс. По результатам нашего исследования, мы полагаем, что ИЛ-6 инициирует свёртывание крови путём прямого поражения эндотелия сосудов, но продолжительность активности описываемой системы обеспечивается формирование благоприятного фона. Так ангиотензин II, своим основным эффектом через рецептор 1 типа, увеличивает сопротивляемость сосудистой стенки и формирует застой в малом кругу кровообращения. Таким образом формируя, непосредственные условия для активации поддержания более высокой активности свёртывания в условиях высокогорья, а ИЛ-6 играет роль пускового механизма описанного выше. В сочетании, с активностью ангиотензина II, происходит снижение воздействия АПФ2 на Mas-рецепторы на мембранных тромбоцитах, что вызывает их первичную агрегацию между собой. Суммировать вышесказанное, мы считаем, что дисбаланс в регуляторных и контррегуляторных механизма ангиотензиновой системы, создает условия для запуска и поддержания каскада</w:t>
      </w:r>
      <w:r w:rsidR="00F2626D">
        <w:rPr>
          <w:rFonts w:ascii="Times New Roman" w:eastAsia="Calibri" w:hAnsi="Times New Roman" w:cs="Times New Roman"/>
          <w:sz w:val="28"/>
          <w:szCs w:val="28"/>
        </w:rPr>
        <w:t xml:space="preserve"> механизмов свёртывания крови (р</w:t>
      </w:r>
      <w:r w:rsidRPr="007732E8">
        <w:rPr>
          <w:rFonts w:ascii="Times New Roman" w:eastAsia="Calibri" w:hAnsi="Times New Roman" w:cs="Times New Roman"/>
          <w:sz w:val="28"/>
          <w:szCs w:val="28"/>
        </w:rPr>
        <w:t>исунок 3.4.4.1).</w:t>
      </w: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Calibri" w:eastAsia="Calibri" w:hAnsi="Calibri" w:cs="Times New Roman"/>
          <w:noProof/>
          <w:lang w:eastAsia="ru-RU"/>
        </w:rPr>
        <w:lastRenderedPageBreak/>
        <w:drawing>
          <wp:anchor distT="0" distB="0" distL="114300" distR="114300" simplePos="0" relativeHeight="251664384" behindDoc="0" locked="0" layoutInCell="1" allowOverlap="1" wp14:anchorId="5BDAF8B2" wp14:editId="7A83A6AB">
            <wp:simplePos x="0" y="0"/>
            <wp:positionH relativeFrom="margin">
              <wp:align>center</wp:align>
            </wp:positionH>
            <wp:positionV relativeFrom="paragraph">
              <wp:posOffset>0</wp:posOffset>
            </wp:positionV>
            <wp:extent cx="5756275" cy="4264025"/>
            <wp:effectExtent l="0" t="0" r="0" b="3175"/>
            <wp:wrapSquare wrapText="bothSides"/>
            <wp:docPr id="2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a:extLst>
                        <a:ext uri="{28A0092B-C50C-407E-A947-70E740481C1C}">
                          <a14:useLocalDpi xmlns:a14="http://schemas.microsoft.com/office/drawing/2010/main" val="0"/>
                        </a:ext>
                      </a:extLst>
                    </a:blip>
                    <a:srcRect l="22302" t="11272" r="22240" b="15681"/>
                    <a:stretch>
                      <a:fillRect/>
                    </a:stretch>
                  </pic:blipFill>
                  <pic:spPr bwMode="auto">
                    <a:xfrm>
                      <a:off x="0" y="0"/>
                      <a:ext cx="5756275" cy="4264025"/>
                    </a:xfrm>
                    <a:prstGeom prst="rect">
                      <a:avLst/>
                    </a:prstGeom>
                    <a:noFill/>
                  </pic:spPr>
                </pic:pic>
              </a:graphicData>
            </a:graphic>
            <wp14:sizeRelH relativeFrom="margin">
              <wp14:pctWidth>0</wp14:pctWidth>
            </wp14:sizeRelH>
            <wp14:sizeRelV relativeFrom="margin">
              <wp14:pctHeight>0</wp14:pctHeight>
            </wp14:sizeRelV>
          </wp:anchor>
        </w:drawing>
      </w:r>
      <w:r w:rsidRPr="007732E8">
        <w:rPr>
          <w:rFonts w:ascii="Times New Roman" w:eastAsia="Calibri" w:hAnsi="Times New Roman" w:cs="Times New Roman"/>
          <w:sz w:val="28"/>
          <w:szCs w:val="28"/>
        </w:rPr>
        <w:t>Рисунок 3.4.4.1</w:t>
      </w:r>
      <w:r w:rsidR="00F2626D">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Механизм формирования избыточной активности свертывающей системы крови у исследуемых из высокогорья.</w:t>
      </w: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F2626D">
      <w:pPr>
        <w:spacing w:after="0" w:line="360" w:lineRule="auto"/>
        <w:ind w:firstLine="709"/>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3.4.5. Концепция патофизиологического механизма формирования электролитного дисбаланса в условиях высокогорья. </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Электролитный дисбаланс, а именно его ограниченность двумя элементами: натрием и калием, является подтверждением активации РААС в патогенезе данной лабораторной картины. Так, повышение уровня ангиотензина II и его прямое воздействие на синтез альдостерона, увеличивает концентрацию последнего. Альдостерон, в свою очередь увеличивает обмен калия и натрий в почечной канальцах, тем самым определяя полученные результаты в таблице </w:t>
      </w:r>
      <w:r w:rsidR="00343EA2" w:rsidRPr="00343EA2">
        <w:rPr>
          <w:rFonts w:ascii="Times New Roman" w:eastAsia="Calibri" w:hAnsi="Times New Roman" w:cs="Times New Roman"/>
          <w:sz w:val="28"/>
          <w:szCs w:val="28"/>
        </w:rPr>
        <w:t>3.2.4.1</w:t>
      </w:r>
      <w:r w:rsidRPr="00343EA2">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На</w:t>
      </w:r>
      <w:r w:rsidR="00F2626D">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равне с указанными механизмом, мы полагаем, что дефицит АПФ2, притормаживает обратный эффект реализуемый через рецепторы ангиотензина 2 типа. Суммируя полученные данные и умозаключения, мы наблюдаем явный дисбаланс ангиотензиновой системы организма в сторону повышения регуляторных и снижения контррегуляторных </w:t>
      </w:r>
      <w:r w:rsidRPr="007732E8">
        <w:rPr>
          <w:rFonts w:ascii="Times New Roman" w:eastAsia="Calibri" w:hAnsi="Times New Roman" w:cs="Times New Roman"/>
          <w:sz w:val="28"/>
          <w:szCs w:val="28"/>
        </w:rPr>
        <w:lastRenderedPageBreak/>
        <w:t>свойств. Наличие же гипоксии, вызывает дополнительные дефицит АПФ2, в организме больного COVID-19 в условиях высокогорья. Подтверждая, возникшую разницу в регуляторных свойствах организма у жителей высокогорного региона относ</w:t>
      </w:r>
      <w:r w:rsidR="00F2626D">
        <w:rPr>
          <w:rFonts w:ascii="Times New Roman" w:eastAsia="Calibri" w:hAnsi="Times New Roman" w:cs="Times New Roman"/>
          <w:sz w:val="28"/>
          <w:szCs w:val="28"/>
        </w:rPr>
        <w:t>ительно низко – и среднегорья (рисунок 3.4.5.1</w:t>
      </w:r>
      <w:r w:rsidRPr="007732E8">
        <w:rPr>
          <w:rFonts w:ascii="Times New Roman" w:eastAsia="Calibri" w:hAnsi="Times New Roman" w:cs="Times New Roman"/>
          <w:sz w:val="28"/>
          <w:szCs w:val="28"/>
        </w:rPr>
        <w:t>).</w:t>
      </w:r>
    </w:p>
    <w:p w:rsidR="007732E8" w:rsidRPr="007732E8" w:rsidRDefault="00343EA2" w:rsidP="007732E8">
      <w:pPr>
        <w:spacing w:after="0" w:line="360" w:lineRule="auto"/>
        <w:jc w:val="center"/>
        <w:rPr>
          <w:rFonts w:ascii="Times New Roman" w:eastAsia="Calibri" w:hAnsi="Times New Roman" w:cs="Times New Roman"/>
          <w:sz w:val="28"/>
          <w:szCs w:val="28"/>
        </w:rPr>
      </w:pPr>
      <w:r w:rsidRPr="007732E8">
        <w:rPr>
          <w:rFonts w:ascii="Calibri" w:eastAsia="Calibri" w:hAnsi="Calibri" w:cs="Times New Roman"/>
          <w:noProof/>
          <w:lang w:eastAsia="ru-RU"/>
        </w:rPr>
        <w:drawing>
          <wp:anchor distT="0" distB="0" distL="114300" distR="114300" simplePos="0" relativeHeight="251665408" behindDoc="0" locked="0" layoutInCell="1" allowOverlap="1" wp14:anchorId="279DDE71" wp14:editId="6E6B5350">
            <wp:simplePos x="0" y="0"/>
            <wp:positionH relativeFrom="margin">
              <wp:posOffset>326390</wp:posOffset>
            </wp:positionH>
            <wp:positionV relativeFrom="paragraph">
              <wp:posOffset>216535</wp:posOffset>
            </wp:positionV>
            <wp:extent cx="5542915" cy="4044950"/>
            <wp:effectExtent l="0" t="0" r="635" b="0"/>
            <wp:wrapSquare wrapText="bothSides"/>
            <wp:docPr id="2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a:extLst>
                        <a:ext uri="{28A0092B-C50C-407E-A947-70E740481C1C}">
                          <a14:useLocalDpi xmlns:a14="http://schemas.microsoft.com/office/drawing/2010/main" val="0"/>
                        </a:ext>
                      </a:extLst>
                    </a:blip>
                    <a:srcRect l="24112" t="10265" r="22693" b="20712"/>
                    <a:stretch>
                      <a:fillRect/>
                    </a:stretch>
                  </pic:blipFill>
                  <pic:spPr bwMode="auto">
                    <a:xfrm>
                      <a:off x="0" y="0"/>
                      <a:ext cx="5542915" cy="4044950"/>
                    </a:xfrm>
                    <a:prstGeom prst="rect">
                      <a:avLst/>
                    </a:prstGeom>
                    <a:noFill/>
                  </pic:spPr>
                </pic:pic>
              </a:graphicData>
            </a:graphic>
            <wp14:sizeRelH relativeFrom="margin">
              <wp14:pctWidth>0</wp14:pctWidth>
            </wp14:sizeRelH>
            <wp14:sizeRelV relativeFrom="margin">
              <wp14:pctHeight>0</wp14:pctHeight>
            </wp14:sizeRelV>
          </wp:anchor>
        </w:drawing>
      </w:r>
      <w:r w:rsidR="007732E8" w:rsidRPr="007732E8">
        <w:rPr>
          <w:rFonts w:ascii="Times New Roman" w:eastAsia="Calibri" w:hAnsi="Times New Roman" w:cs="Times New Roman"/>
          <w:sz w:val="28"/>
          <w:szCs w:val="28"/>
        </w:rPr>
        <w:br w:type="textWrapping" w:clear="all"/>
        <w:t>Рисунок 3.4.5.1</w:t>
      </w:r>
      <w:r w:rsidR="00F2626D">
        <w:rPr>
          <w:rFonts w:ascii="Times New Roman" w:eastAsia="Calibri" w:hAnsi="Times New Roman" w:cs="Times New Roman"/>
          <w:sz w:val="28"/>
          <w:szCs w:val="28"/>
        </w:rPr>
        <w:t>‒</w:t>
      </w:r>
      <w:r w:rsidR="007732E8" w:rsidRPr="007732E8">
        <w:rPr>
          <w:rFonts w:ascii="Times New Roman" w:eastAsia="Calibri" w:hAnsi="Times New Roman" w:cs="Times New Roman"/>
          <w:sz w:val="28"/>
          <w:szCs w:val="28"/>
        </w:rPr>
        <w:t xml:space="preserve"> Механизм электролитного обмена в условиях гипоксической гипоксии.</w:t>
      </w:r>
    </w:p>
    <w:p w:rsidR="007732E8" w:rsidRPr="007732E8" w:rsidRDefault="007732E8" w:rsidP="007732E8">
      <w:pPr>
        <w:spacing w:after="0" w:line="360" w:lineRule="auto"/>
        <w:jc w:val="both"/>
        <w:rPr>
          <w:rFonts w:ascii="Times New Roman" w:eastAsia="Calibri" w:hAnsi="Times New Roman" w:cs="Times New Roman"/>
          <w:sz w:val="28"/>
          <w:szCs w:val="28"/>
        </w:rPr>
      </w:pPr>
    </w:p>
    <w:p w:rsidR="007732E8" w:rsidRPr="007732E8" w:rsidRDefault="007732E8" w:rsidP="00343EA2">
      <w:pPr>
        <w:spacing w:after="0" w:line="360" w:lineRule="auto"/>
        <w:ind w:firstLine="709"/>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3.4.6. Концепция формирования фона ментальной реактивности у исследуемых групп. </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Характерные изменения в тревожности ментального состояния исследуемых групп, определили высокую реактивность симпатической реакции, которые имеет эффект и на соматическая здоровье исследуемых. Разбираю, причины проявления данной симптоматики, в аспекте ангиотензиновой природы явления, нами построен макет механизма реализации указанного феномена. Также, опуская общепринятые свойства SARS-CoV-2 в </w:t>
      </w:r>
      <w:r w:rsidRPr="007732E8">
        <w:rPr>
          <w:rFonts w:ascii="Times New Roman" w:eastAsia="Calibri" w:hAnsi="Times New Roman" w:cs="Times New Roman"/>
          <w:sz w:val="28"/>
          <w:szCs w:val="28"/>
        </w:rPr>
        <w:lastRenderedPageBreak/>
        <w:t>увеличении ИЛ-6 и снижение АПФ2, мы полагаем, что ангиотензин II  взаимодействует с нейромедиаторами, вызывает общую реактивность в нервной системе исследуемых что отражает данные из раздела ментальное здоровье. Параллельно с указанными выше, происходит активация стрессовых путей через увеличение синтеза альдостерона, что имеет негативное влияние на проявление стресса. Отмечает общую физиологию влияние ангиотензина II, необходимо подчеркнуть общий дисбаланс кровотока в головном мозге. Сочетание всех вышеуказанных факторов, как фон-формирующее звено в расстройстве ментального здоровья, ангиотензин II имеет прямое свойство влиять на активность симпатической нервной системы. По нашему мнению, создаваемое ангиотензином II, ментальное состояние определяет дальнейший запуск клинического проявления посредством информационного потока от СМИ. Таким образом, прямой воздействие SARS-CoV-2 на баланс регуляторный и контррегуляторный свойствах ангиотензиновой системы, сыграла немаловажную роль в расстройстве ментального здоровья исследуем</w:t>
      </w:r>
      <w:r w:rsidR="00F2626D">
        <w:rPr>
          <w:rFonts w:ascii="Times New Roman" w:eastAsia="Calibri" w:hAnsi="Times New Roman" w:cs="Times New Roman"/>
          <w:sz w:val="28"/>
          <w:szCs w:val="28"/>
        </w:rPr>
        <w:t>ых пациентов (р</w:t>
      </w:r>
      <w:r w:rsidRPr="007732E8">
        <w:rPr>
          <w:rFonts w:ascii="Times New Roman" w:eastAsia="Calibri" w:hAnsi="Times New Roman" w:cs="Times New Roman"/>
          <w:sz w:val="28"/>
          <w:szCs w:val="28"/>
        </w:rPr>
        <w:t>исунок 3.4.6.1).</w:t>
      </w:r>
    </w:p>
    <w:p w:rsidR="007732E8" w:rsidRPr="00F2626D" w:rsidRDefault="007732E8" w:rsidP="007732E8">
      <w:pPr>
        <w:spacing w:after="0" w:line="360" w:lineRule="auto"/>
        <w:jc w:val="both"/>
        <w:rPr>
          <w:rFonts w:ascii="Times New Roman" w:eastAsia="Calibri" w:hAnsi="Times New Roman" w:cs="Times New Roman"/>
          <w:sz w:val="12"/>
          <w:szCs w:val="28"/>
        </w:rPr>
      </w:pPr>
    </w:p>
    <w:p w:rsidR="007732E8" w:rsidRPr="007732E8" w:rsidRDefault="007732E8" w:rsidP="007732E8">
      <w:pPr>
        <w:spacing w:after="0" w:line="360" w:lineRule="auto"/>
        <w:jc w:val="center"/>
        <w:rPr>
          <w:rFonts w:ascii="Times New Roman" w:eastAsia="Calibri" w:hAnsi="Times New Roman" w:cs="Times New Roman"/>
          <w:sz w:val="28"/>
          <w:szCs w:val="28"/>
        </w:rPr>
      </w:pPr>
      <w:r w:rsidRPr="007732E8">
        <w:rPr>
          <w:rFonts w:ascii="Calibri" w:eastAsia="Calibri" w:hAnsi="Calibri" w:cs="Times New Roman"/>
          <w:noProof/>
          <w:lang w:eastAsia="ru-RU"/>
        </w:rPr>
        <w:drawing>
          <wp:inline distT="0" distB="0" distL="0" distR="0" wp14:anchorId="26682218" wp14:editId="03F0BA21">
            <wp:extent cx="5501640" cy="3429000"/>
            <wp:effectExtent l="0" t="0" r="3810" b="0"/>
            <wp:docPr id="2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4">
                      <a:extLst>
                        <a:ext uri="{28A0092B-C50C-407E-A947-70E740481C1C}">
                          <a14:useLocalDpi xmlns:a14="http://schemas.microsoft.com/office/drawing/2010/main" val="0"/>
                        </a:ext>
                      </a:extLst>
                    </a:blip>
                    <a:srcRect l="22868" t="12479" r="21674" b="26146"/>
                    <a:stretch>
                      <a:fillRect/>
                    </a:stretch>
                  </pic:blipFill>
                  <pic:spPr bwMode="auto">
                    <a:xfrm>
                      <a:off x="0" y="0"/>
                      <a:ext cx="5501640" cy="3429000"/>
                    </a:xfrm>
                    <a:prstGeom prst="rect">
                      <a:avLst/>
                    </a:prstGeom>
                    <a:noFill/>
                    <a:ln>
                      <a:noFill/>
                    </a:ln>
                  </pic:spPr>
                </pic:pic>
              </a:graphicData>
            </a:graphic>
          </wp:inline>
        </w:drawing>
      </w:r>
    </w:p>
    <w:p w:rsidR="007732E8" w:rsidRPr="007732E8" w:rsidRDefault="00F2626D" w:rsidP="007732E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3.4.6.1 ‒</w:t>
      </w:r>
      <w:r w:rsidR="007732E8" w:rsidRPr="007732E8">
        <w:rPr>
          <w:rFonts w:ascii="Times New Roman" w:eastAsia="Calibri" w:hAnsi="Times New Roman" w:cs="Times New Roman"/>
          <w:sz w:val="28"/>
          <w:szCs w:val="28"/>
        </w:rPr>
        <w:t xml:space="preserve"> Механизм формирования ментальной фоновой реактивности</w:t>
      </w:r>
      <w:r>
        <w:rPr>
          <w:rFonts w:ascii="Times New Roman" w:eastAsia="Calibri" w:hAnsi="Times New Roman" w:cs="Times New Roman"/>
          <w:sz w:val="28"/>
          <w:szCs w:val="28"/>
        </w:rPr>
        <w:t xml:space="preserve">                </w:t>
      </w:r>
      <w:r w:rsidR="007732E8" w:rsidRPr="007732E8">
        <w:rPr>
          <w:rFonts w:ascii="Times New Roman" w:eastAsia="Calibri" w:hAnsi="Times New Roman" w:cs="Times New Roman"/>
          <w:sz w:val="28"/>
          <w:szCs w:val="28"/>
        </w:rPr>
        <w:t xml:space="preserve"> у исследуемых групп.</w:t>
      </w:r>
    </w:p>
    <w:p w:rsidR="00343EA2" w:rsidRPr="00343EA2" w:rsidRDefault="00343EA2" w:rsidP="00343EA2">
      <w:pPr>
        <w:spacing w:after="0" w:line="360" w:lineRule="auto"/>
        <w:ind w:firstLine="709"/>
        <w:jc w:val="both"/>
        <w:rPr>
          <w:rFonts w:ascii="Times New Roman" w:eastAsia="Calibri" w:hAnsi="Times New Roman" w:cs="Times New Roman"/>
          <w:b/>
          <w:sz w:val="28"/>
          <w:szCs w:val="28"/>
        </w:rPr>
      </w:pPr>
      <w:r w:rsidRPr="00343EA2">
        <w:rPr>
          <w:rFonts w:ascii="Times New Roman" w:eastAsia="Calibri" w:hAnsi="Times New Roman" w:cs="Times New Roman"/>
          <w:b/>
          <w:bCs/>
          <w:sz w:val="28"/>
          <w:szCs w:val="28"/>
        </w:rPr>
        <w:lastRenderedPageBreak/>
        <w:t>Резюме</w:t>
      </w:r>
    </w:p>
    <w:p w:rsidR="00343EA2" w:rsidRPr="00343EA2" w:rsidRDefault="00343EA2" w:rsidP="00343EA2">
      <w:pPr>
        <w:spacing w:after="0" w:line="360" w:lineRule="auto"/>
        <w:ind w:firstLine="709"/>
        <w:jc w:val="both"/>
        <w:rPr>
          <w:rFonts w:ascii="Times New Roman" w:eastAsia="Calibri" w:hAnsi="Times New Roman" w:cs="Times New Roman"/>
          <w:sz w:val="28"/>
          <w:szCs w:val="28"/>
        </w:rPr>
      </w:pPr>
      <w:r w:rsidRPr="00343EA2">
        <w:rPr>
          <w:rFonts w:ascii="Times New Roman" w:eastAsia="Calibri" w:hAnsi="Times New Roman" w:cs="Times New Roman"/>
          <w:sz w:val="28"/>
          <w:szCs w:val="28"/>
        </w:rPr>
        <w:t>Исследование анализирует дисбаланс ангиотензиновой системы при COVID-19 у пациентов, проживающих в условиях высокогорья. Используя модель причинно-следственных связей, исследование выделяет ключевые патофизиологические механизмы, связанные с дефицитом АПФ2 и избыточной продукцией ангиотензина II, который усиливает воспаление и активность свертывающей системы. У пациентов из высокогорья отмечены также изменения электролитного баланса (натрия и калия) и повышенная ментальная реактивность.</w:t>
      </w:r>
    </w:p>
    <w:p w:rsidR="00343EA2" w:rsidRPr="00343EA2" w:rsidRDefault="00343EA2" w:rsidP="00343EA2">
      <w:pPr>
        <w:spacing w:after="0" w:line="360" w:lineRule="auto"/>
        <w:ind w:firstLine="709"/>
        <w:jc w:val="both"/>
        <w:rPr>
          <w:rFonts w:ascii="Times New Roman" w:eastAsia="Calibri" w:hAnsi="Times New Roman" w:cs="Times New Roman"/>
          <w:sz w:val="28"/>
          <w:szCs w:val="28"/>
        </w:rPr>
      </w:pPr>
      <w:r w:rsidRPr="00343EA2">
        <w:rPr>
          <w:rFonts w:ascii="Times New Roman" w:eastAsia="Calibri" w:hAnsi="Times New Roman" w:cs="Times New Roman"/>
          <w:sz w:val="28"/>
          <w:szCs w:val="28"/>
        </w:rPr>
        <w:t>Снижение уровня АПФ2 приводит к ослаблению защитных механизмов организма и повышению воспалительной активности, что усугубляется гипоксией высокогорья. Уровень ангиотензина II увеличивает стрессовую нагрузку, влияя на симпатическую нервную систему и ухудшая ментальное здоровье. Изменения ангиотензиновых рецепторов также повышают склонность к тромбообразованию, особенно в условиях недостатка кислорода.</w:t>
      </w:r>
    </w:p>
    <w:p w:rsidR="00343EA2" w:rsidRPr="00343EA2" w:rsidRDefault="00343EA2" w:rsidP="00343EA2">
      <w:pPr>
        <w:spacing w:after="0" w:line="360" w:lineRule="auto"/>
        <w:ind w:firstLine="709"/>
        <w:jc w:val="both"/>
        <w:rPr>
          <w:rFonts w:ascii="Times New Roman" w:eastAsia="Calibri" w:hAnsi="Times New Roman" w:cs="Times New Roman"/>
          <w:sz w:val="28"/>
          <w:szCs w:val="28"/>
        </w:rPr>
      </w:pPr>
      <w:r w:rsidRPr="00343EA2">
        <w:rPr>
          <w:rFonts w:ascii="Times New Roman" w:eastAsia="Calibri" w:hAnsi="Times New Roman" w:cs="Times New Roman"/>
          <w:sz w:val="28"/>
          <w:szCs w:val="28"/>
        </w:rPr>
        <w:t>Таким образом, COVID-19 вызывает сложный дисбаланс ангиотензиновой системы у жителей высокогорья, что приводит к усилению воспаления, нарушению свертываемости крови и ухудшению психоэмоционального состояния.</w:t>
      </w:r>
    </w:p>
    <w:p w:rsidR="00343EA2" w:rsidRDefault="00343EA2" w:rsidP="00AD1468">
      <w:pPr>
        <w:spacing w:after="0" w:line="360" w:lineRule="auto"/>
        <w:ind w:firstLine="709"/>
        <w:jc w:val="center"/>
        <w:rPr>
          <w:rFonts w:ascii="Times New Roman" w:eastAsia="Calibri" w:hAnsi="Times New Roman" w:cs="Times New Roman"/>
          <w:b/>
          <w:sz w:val="28"/>
          <w:szCs w:val="28"/>
        </w:rPr>
      </w:pPr>
    </w:p>
    <w:p w:rsidR="00F2626D" w:rsidRDefault="00F2626D" w:rsidP="00AD1468">
      <w:pPr>
        <w:spacing w:after="0" w:line="360" w:lineRule="auto"/>
        <w:jc w:val="center"/>
        <w:rPr>
          <w:rFonts w:ascii="Times New Roman" w:eastAsia="Calibri" w:hAnsi="Times New Roman" w:cs="Times New Roman"/>
          <w:b/>
          <w:bCs/>
          <w:sz w:val="28"/>
          <w:szCs w:val="28"/>
        </w:rPr>
      </w:pPr>
    </w:p>
    <w:p w:rsidR="00F2626D" w:rsidRDefault="00F2626D" w:rsidP="00AD1468">
      <w:pPr>
        <w:spacing w:after="0" w:line="360" w:lineRule="auto"/>
        <w:jc w:val="center"/>
        <w:rPr>
          <w:rFonts w:ascii="Times New Roman" w:eastAsia="Calibri" w:hAnsi="Times New Roman" w:cs="Times New Roman"/>
          <w:b/>
          <w:bCs/>
          <w:sz w:val="28"/>
          <w:szCs w:val="28"/>
        </w:rPr>
      </w:pPr>
    </w:p>
    <w:p w:rsidR="00F2626D" w:rsidRDefault="00F2626D" w:rsidP="00AD1468">
      <w:pPr>
        <w:spacing w:after="0" w:line="360" w:lineRule="auto"/>
        <w:jc w:val="center"/>
        <w:rPr>
          <w:rFonts w:ascii="Times New Roman" w:eastAsia="Calibri" w:hAnsi="Times New Roman" w:cs="Times New Roman"/>
          <w:b/>
          <w:bCs/>
          <w:sz w:val="28"/>
          <w:szCs w:val="28"/>
        </w:rPr>
      </w:pPr>
    </w:p>
    <w:p w:rsidR="00F2626D" w:rsidRDefault="00F2626D" w:rsidP="00AD1468">
      <w:pPr>
        <w:spacing w:after="0" w:line="360" w:lineRule="auto"/>
        <w:jc w:val="center"/>
        <w:rPr>
          <w:rFonts w:ascii="Times New Roman" w:eastAsia="Calibri" w:hAnsi="Times New Roman" w:cs="Times New Roman"/>
          <w:b/>
          <w:bCs/>
          <w:sz w:val="28"/>
          <w:szCs w:val="28"/>
        </w:rPr>
      </w:pPr>
    </w:p>
    <w:p w:rsidR="00F2626D" w:rsidRDefault="00F2626D" w:rsidP="00AD1468">
      <w:pPr>
        <w:spacing w:after="0" w:line="360" w:lineRule="auto"/>
        <w:jc w:val="center"/>
        <w:rPr>
          <w:rFonts w:ascii="Times New Roman" w:eastAsia="Calibri" w:hAnsi="Times New Roman" w:cs="Times New Roman"/>
          <w:b/>
          <w:bCs/>
          <w:sz w:val="28"/>
          <w:szCs w:val="28"/>
        </w:rPr>
      </w:pPr>
    </w:p>
    <w:p w:rsidR="00F2626D" w:rsidRDefault="00F2626D" w:rsidP="00AD1468">
      <w:pPr>
        <w:spacing w:after="0" w:line="360" w:lineRule="auto"/>
        <w:jc w:val="center"/>
        <w:rPr>
          <w:rFonts w:ascii="Times New Roman" w:eastAsia="Calibri" w:hAnsi="Times New Roman" w:cs="Times New Roman"/>
          <w:b/>
          <w:bCs/>
          <w:sz w:val="28"/>
          <w:szCs w:val="28"/>
        </w:rPr>
      </w:pPr>
    </w:p>
    <w:p w:rsidR="00F2626D" w:rsidRDefault="00F2626D" w:rsidP="00AD1468">
      <w:pPr>
        <w:spacing w:after="0" w:line="360" w:lineRule="auto"/>
        <w:jc w:val="center"/>
        <w:rPr>
          <w:rFonts w:ascii="Times New Roman" w:eastAsia="Calibri" w:hAnsi="Times New Roman" w:cs="Times New Roman"/>
          <w:b/>
          <w:bCs/>
          <w:sz w:val="28"/>
          <w:szCs w:val="28"/>
        </w:rPr>
      </w:pPr>
    </w:p>
    <w:p w:rsidR="00F2626D" w:rsidRDefault="00F2626D" w:rsidP="00AD1468">
      <w:pPr>
        <w:spacing w:after="0" w:line="360" w:lineRule="auto"/>
        <w:jc w:val="center"/>
        <w:rPr>
          <w:rFonts w:ascii="Times New Roman" w:eastAsia="Calibri" w:hAnsi="Times New Roman" w:cs="Times New Roman"/>
          <w:b/>
          <w:bCs/>
          <w:sz w:val="28"/>
          <w:szCs w:val="28"/>
        </w:rPr>
      </w:pPr>
    </w:p>
    <w:p w:rsidR="00F2626D" w:rsidRDefault="00F2626D" w:rsidP="00AD1468">
      <w:pPr>
        <w:spacing w:after="0" w:line="360" w:lineRule="auto"/>
        <w:jc w:val="center"/>
        <w:rPr>
          <w:rFonts w:ascii="Times New Roman" w:eastAsia="Calibri" w:hAnsi="Times New Roman" w:cs="Times New Roman"/>
          <w:b/>
          <w:bCs/>
          <w:sz w:val="28"/>
          <w:szCs w:val="28"/>
        </w:rPr>
      </w:pPr>
    </w:p>
    <w:p w:rsidR="00F2626D" w:rsidRDefault="00F2626D" w:rsidP="00AD1468">
      <w:pPr>
        <w:spacing w:after="0" w:line="360" w:lineRule="auto"/>
        <w:jc w:val="center"/>
        <w:rPr>
          <w:rFonts w:ascii="Times New Roman" w:eastAsia="Calibri" w:hAnsi="Times New Roman" w:cs="Times New Roman"/>
          <w:b/>
          <w:bCs/>
          <w:sz w:val="28"/>
          <w:szCs w:val="28"/>
        </w:rPr>
      </w:pPr>
    </w:p>
    <w:p w:rsidR="00AD1468" w:rsidRDefault="00824D91" w:rsidP="00AD1468">
      <w:pPr>
        <w:spacing w:after="0"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ПРАКТИЧЕСКИЕ РЕКОМЕНДАЦИИ</w:t>
      </w:r>
    </w:p>
    <w:p w:rsidR="00F2626D" w:rsidRPr="00AD1468" w:rsidRDefault="00F2626D" w:rsidP="00AD1468">
      <w:pPr>
        <w:spacing w:after="0" w:line="360" w:lineRule="auto"/>
        <w:jc w:val="center"/>
        <w:rPr>
          <w:rFonts w:ascii="Times New Roman" w:eastAsia="Calibri" w:hAnsi="Times New Roman" w:cs="Times New Roman"/>
          <w:b/>
          <w:bCs/>
          <w:sz w:val="28"/>
          <w:szCs w:val="28"/>
        </w:rPr>
      </w:pPr>
    </w:p>
    <w:p w:rsidR="00AD1468" w:rsidRPr="00AD1468" w:rsidRDefault="00AD1468" w:rsidP="00F2626D">
      <w:pPr>
        <w:numPr>
          <w:ilvl w:val="0"/>
          <w:numId w:val="21"/>
        </w:numPr>
        <w:tabs>
          <w:tab w:val="clear" w:pos="720"/>
          <w:tab w:val="num" w:pos="0"/>
          <w:tab w:val="left" w:pos="993"/>
        </w:tabs>
        <w:spacing w:after="0" w:line="360" w:lineRule="auto"/>
        <w:ind w:left="0" w:firstLine="567"/>
        <w:jc w:val="both"/>
        <w:rPr>
          <w:rFonts w:ascii="Times New Roman" w:eastAsia="Calibri" w:hAnsi="Times New Roman" w:cs="Times New Roman"/>
          <w:sz w:val="28"/>
          <w:szCs w:val="28"/>
        </w:rPr>
      </w:pPr>
      <w:r w:rsidRPr="00AD1468">
        <w:rPr>
          <w:rFonts w:ascii="Times New Roman" w:eastAsia="Calibri" w:hAnsi="Times New Roman" w:cs="Times New Roman"/>
          <w:bCs/>
          <w:sz w:val="28"/>
          <w:szCs w:val="28"/>
        </w:rPr>
        <w:t>Адаптация лечения COVID-19 в высокогорных регионах</w:t>
      </w:r>
      <w:r w:rsidRPr="00AD1468">
        <w:rPr>
          <w:rFonts w:ascii="Times New Roman" w:eastAsia="Calibri" w:hAnsi="Times New Roman" w:cs="Times New Roman"/>
          <w:sz w:val="28"/>
          <w:szCs w:val="28"/>
        </w:rPr>
        <w:br/>
        <w:t>На основе полученных данных предложены изменения в протоколах лечения, включая коррекцию антикоагулянтной и оксигенотерапии для пациентов, проживающих в условиях низкого атмосферного давления.</w:t>
      </w:r>
    </w:p>
    <w:p w:rsidR="00AD1468" w:rsidRPr="00AD1468" w:rsidRDefault="00AD1468" w:rsidP="00F2626D">
      <w:pPr>
        <w:numPr>
          <w:ilvl w:val="0"/>
          <w:numId w:val="21"/>
        </w:numPr>
        <w:tabs>
          <w:tab w:val="clear" w:pos="720"/>
          <w:tab w:val="num" w:pos="0"/>
          <w:tab w:val="left" w:pos="993"/>
        </w:tabs>
        <w:spacing w:after="0" w:line="360" w:lineRule="auto"/>
        <w:ind w:left="0" w:firstLine="567"/>
        <w:jc w:val="both"/>
        <w:rPr>
          <w:rFonts w:ascii="Times New Roman" w:eastAsia="Calibri" w:hAnsi="Times New Roman" w:cs="Times New Roman"/>
          <w:sz w:val="28"/>
          <w:szCs w:val="28"/>
        </w:rPr>
      </w:pPr>
      <w:r w:rsidRPr="00AD1468">
        <w:rPr>
          <w:rFonts w:ascii="Times New Roman" w:eastAsia="Calibri" w:hAnsi="Times New Roman" w:cs="Times New Roman"/>
          <w:sz w:val="28"/>
          <w:szCs w:val="28"/>
        </w:rPr>
        <w:t>Разработаны подходы для восстановления пациентов после COVID-19, включая меры по улучшению ментального здоровья, особенно актуальные для высокогорных регионов.</w:t>
      </w:r>
    </w:p>
    <w:p w:rsidR="00AD1468" w:rsidRPr="00AD1468" w:rsidRDefault="00AD1468" w:rsidP="00F2626D">
      <w:pPr>
        <w:numPr>
          <w:ilvl w:val="0"/>
          <w:numId w:val="21"/>
        </w:numPr>
        <w:tabs>
          <w:tab w:val="clear" w:pos="720"/>
          <w:tab w:val="num" w:pos="0"/>
          <w:tab w:val="left" w:pos="993"/>
        </w:tabs>
        <w:spacing w:after="0" w:line="360" w:lineRule="auto"/>
        <w:ind w:left="0" w:firstLine="567"/>
        <w:jc w:val="both"/>
        <w:rPr>
          <w:rFonts w:ascii="Times New Roman" w:eastAsia="Calibri" w:hAnsi="Times New Roman" w:cs="Times New Roman"/>
          <w:sz w:val="28"/>
          <w:szCs w:val="28"/>
        </w:rPr>
      </w:pPr>
      <w:r w:rsidRPr="00AD1468">
        <w:rPr>
          <w:rFonts w:ascii="Times New Roman" w:eastAsia="Calibri" w:hAnsi="Times New Roman" w:cs="Times New Roman"/>
          <w:sz w:val="28"/>
          <w:szCs w:val="28"/>
        </w:rPr>
        <w:t>Результаты исследования интегрированы в образовательные программы медицинских вузов, что помогает готовить специалистов с учетом особенностей работы в экстремальных климатических условиях.</w:t>
      </w:r>
    </w:p>
    <w:p w:rsidR="00AD1468" w:rsidRPr="00AD1468" w:rsidRDefault="00AD1468" w:rsidP="00F2626D">
      <w:pPr>
        <w:numPr>
          <w:ilvl w:val="0"/>
          <w:numId w:val="21"/>
        </w:numPr>
        <w:tabs>
          <w:tab w:val="clear" w:pos="720"/>
          <w:tab w:val="num" w:pos="0"/>
          <w:tab w:val="left" w:pos="993"/>
        </w:tabs>
        <w:spacing w:after="0" w:line="360" w:lineRule="auto"/>
        <w:ind w:left="0" w:firstLine="567"/>
        <w:jc w:val="both"/>
        <w:rPr>
          <w:rFonts w:ascii="Times New Roman" w:eastAsia="Calibri" w:hAnsi="Times New Roman" w:cs="Times New Roman"/>
          <w:sz w:val="28"/>
          <w:szCs w:val="28"/>
        </w:rPr>
      </w:pPr>
      <w:r w:rsidRPr="00AD1468">
        <w:rPr>
          <w:rFonts w:ascii="Times New Roman" w:eastAsia="Calibri" w:hAnsi="Times New Roman" w:cs="Times New Roman"/>
          <w:sz w:val="28"/>
          <w:szCs w:val="28"/>
        </w:rPr>
        <w:t>Внедрение новых методов мониторинга, таких как анализ цитокинового профиля и состояния свертывающей системы крови, позволяет точнее определять тяжесть заболевания.</w:t>
      </w:r>
    </w:p>
    <w:p w:rsidR="00AD1468" w:rsidRPr="00AD1468" w:rsidRDefault="00AD1468" w:rsidP="00F2626D">
      <w:pPr>
        <w:numPr>
          <w:ilvl w:val="0"/>
          <w:numId w:val="21"/>
        </w:numPr>
        <w:tabs>
          <w:tab w:val="clear" w:pos="720"/>
          <w:tab w:val="num" w:pos="0"/>
          <w:tab w:val="left" w:pos="993"/>
        </w:tabs>
        <w:spacing w:after="0" w:line="360" w:lineRule="auto"/>
        <w:ind w:left="0" w:firstLine="567"/>
        <w:jc w:val="both"/>
        <w:rPr>
          <w:rFonts w:ascii="Times New Roman" w:eastAsia="Calibri" w:hAnsi="Times New Roman" w:cs="Times New Roman"/>
          <w:sz w:val="28"/>
          <w:szCs w:val="28"/>
        </w:rPr>
      </w:pPr>
      <w:r w:rsidRPr="00AD1468">
        <w:rPr>
          <w:rFonts w:ascii="Times New Roman" w:eastAsia="Calibri" w:hAnsi="Times New Roman" w:cs="Times New Roman"/>
          <w:sz w:val="28"/>
          <w:szCs w:val="28"/>
        </w:rPr>
        <w:t>Использование результатов исследования позволит снизить затраты на лечение и сократить число осложнений.</w:t>
      </w:r>
    </w:p>
    <w:p w:rsidR="00AD1468" w:rsidRPr="00824D91" w:rsidRDefault="00AD1468" w:rsidP="00F2626D">
      <w:pPr>
        <w:pStyle w:val="a5"/>
        <w:numPr>
          <w:ilvl w:val="0"/>
          <w:numId w:val="21"/>
        </w:numPr>
        <w:tabs>
          <w:tab w:val="clear" w:pos="720"/>
          <w:tab w:val="num" w:pos="0"/>
          <w:tab w:val="left" w:pos="993"/>
        </w:tabs>
        <w:spacing w:after="0" w:line="360" w:lineRule="auto"/>
        <w:ind w:left="0" w:firstLine="567"/>
        <w:jc w:val="both"/>
        <w:rPr>
          <w:rFonts w:ascii="Times New Roman" w:hAnsi="Times New Roman"/>
          <w:sz w:val="28"/>
          <w:szCs w:val="28"/>
        </w:rPr>
      </w:pPr>
      <w:r w:rsidRPr="00824D91">
        <w:rPr>
          <w:rFonts w:ascii="Times New Roman" w:hAnsi="Times New Roman"/>
          <w:bCs/>
          <w:sz w:val="28"/>
          <w:szCs w:val="28"/>
        </w:rPr>
        <w:t>Дальнейшие исследования климатических факторов</w:t>
      </w:r>
      <w:r w:rsidRPr="00824D91">
        <w:rPr>
          <w:rFonts w:ascii="Times New Roman" w:hAnsi="Times New Roman"/>
          <w:sz w:val="28"/>
          <w:szCs w:val="28"/>
        </w:rPr>
        <w:br/>
        <w:t>Необходимо изучить влияние других параметров окружающей среды, таких как температура, влажность и ультрафиолетовое излучение, на течение COVID-19.</w:t>
      </w:r>
    </w:p>
    <w:p w:rsidR="00AD1468" w:rsidRPr="00AD1468" w:rsidRDefault="00AD1468" w:rsidP="00F2626D">
      <w:pPr>
        <w:numPr>
          <w:ilvl w:val="0"/>
          <w:numId w:val="21"/>
        </w:numPr>
        <w:tabs>
          <w:tab w:val="clear" w:pos="720"/>
          <w:tab w:val="num" w:pos="0"/>
          <w:tab w:val="left" w:pos="993"/>
        </w:tabs>
        <w:spacing w:after="0" w:line="360" w:lineRule="auto"/>
        <w:ind w:left="0" w:firstLine="567"/>
        <w:jc w:val="both"/>
        <w:rPr>
          <w:rFonts w:ascii="Times New Roman" w:eastAsia="Calibri" w:hAnsi="Times New Roman" w:cs="Times New Roman"/>
          <w:sz w:val="28"/>
          <w:szCs w:val="28"/>
        </w:rPr>
      </w:pPr>
      <w:r w:rsidRPr="00AD1468">
        <w:rPr>
          <w:rFonts w:ascii="Times New Roman" w:eastAsia="Calibri" w:hAnsi="Times New Roman" w:cs="Times New Roman"/>
          <w:sz w:val="28"/>
          <w:szCs w:val="28"/>
        </w:rPr>
        <w:t>Изучение механизмов дисбаланса ангиотензиновой системы и перекисного окисления липидов открывает возможности для создания таргетных препаратов.</w:t>
      </w:r>
    </w:p>
    <w:p w:rsidR="00343EA2" w:rsidRDefault="00343EA2" w:rsidP="007732E8">
      <w:pPr>
        <w:spacing w:after="0" w:line="360" w:lineRule="auto"/>
        <w:jc w:val="center"/>
        <w:rPr>
          <w:rFonts w:ascii="Times New Roman" w:eastAsia="Calibri" w:hAnsi="Times New Roman" w:cs="Times New Roman"/>
          <w:b/>
          <w:sz w:val="28"/>
          <w:szCs w:val="28"/>
        </w:rPr>
      </w:pPr>
    </w:p>
    <w:p w:rsidR="00F2626D" w:rsidRDefault="00F2626D" w:rsidP="007732E8">
      <w:pPr>
        <w:spacing w:after="0" w:line="360" w:lineRule="auto"/>
        <w:jc w:val="center"/>
        <w:rPr>
          <w:rFonts w:ascii="Times New Roman" w:eastAsia="Calibri" w:hAnsi="Times New Roman" w:cs="Times New Roman"/>
          <w:b/>
          <w:sz w:val="28"/>
          <w:szCs w:val="28"/>
        </w:rPr>
      </w:pPr>
    </w:p>
    <w:p w:rsidR="00F2626D" w:rsidRDefault="00F2626D" w:rsidP="007732E8">
      <w:pPr>
        <w:spacing w:after="0" w:line="360" w:lineRule="auto"/>
        <w:jc w:val="center"/>
        <w:rPr>
          <w:rFonts w:ascii="Times New Roman" w:eastAsia="Calibri" w:hAnsi="Times New Roman" w:cs="Times New Roman"/>
          <w:b/>
          <w:sz w:val="28"/>
          <w:szCs w:val="28"/>
        </w:rPr>
      </w:pPr>
    </w:p>
    <w:p w:rsidR="00F2626D" w:rsidRDefault="00F2626D" w:rsidP="007732E8">
      <w:pPr>
        <w:spacing w:after="0" w:line="360" w:lineRule="auto"/>
        <w:jc w:val="center"/>
        <w:rPr>
          <w:rFonts w:ascii="Times New Roman" w:eastAsia="Calibri" w:hAnsi="Times New Roman" w:cs="Times New Roman"/>
          <w:b/>
          <w:sz w:val="28"/>
          <w:szCs w:val="28"/>
        </w:rPr>
      </w:pPr>
    </w:p>
    <w:p w:rsidR="00F2626D" w:rsidRDefault="00F2626D" w:rsidP="007732E8">
      <w:pPr>
        <w:spacing w:after="0" w:line="360" w:lineRule="auto"/>
        <w:jc w:val="center"/>
        <w:rPr>
          <w:rFonts w:ascii="Times New Roman" w:eastAsia="Calibri" w:hAnsi="Times New Roman" w:cs="Times New Roman"/>
          <w:b/>
          <w:sz w:val="28"/>
          <w:szCs w:val="28"/>
        </w:rPr>
      </w:pPr>
    </w:p>
    <w:p w:rsidR="00F2626D" w:rsidRDefault="00F2626D" w:rsidP="007732E8">
      <w:pPr>
        <w:spacing w:after="0" w:line="360" w:lineRule="auto"/>
        <w:jc w:val="center"/>
        <w:rPr>
          <w:rFonts w:ascii="Times New Roman" w:eastAsia="Calibri" w:hAnsi="Times New Roman" w:cs="Times New Roman"/>
          <w:b/>
          <w:sz w:val="28"/>
          <w:szCs w:val="28"/>
        </w:rPr>
      </w:pPr>
    </w:p>
    <w:p w:rsidR="00F2626D" w:rsidRDefault="00F2626D" w:rsidP="007732E8">
      <w:pPr>
        <w:spacing w:after="0" w:line="360" w:lineRule="auto"/>
        <w:jc w:val="center"/>
        <w:rPr>
          <w:rFonts w:ascii="Times New Roman" w:eastAsia="Calibri" w:hAnsi="Times New Roman" w:cs="Times New Roman"/>
          <w:b/>
          <w:sz w:val="28"/>
          <w:szCs w:val="28"/>
        </w:rPr>
      </w:pPr>
    </w:p>
    <w:p w:rsidR="007732E8" w:rsidRDefault="00343EA2" w:rsidP="007732E8">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ЗАКЛЮЧЕНИЕ</w:t>
      </w:r>
    </w:p>
    <w:p w:rsidR="00F2626D" w:rsidRPr="007732E8" w:rsidRDefault="00F2626D" w:rsidP="007732E8">
      <w:pPr>
        <w:spacing w:after="0" w:line="360" w:lineRule="auto"/>
        <w:jc w:val="center"/>
        <w:rPr>
          <w:rFonts w:ascii="Times New Roman" w:eastAsia="Calibri" w:hAnsi="Times New Roman" w:cs="Times New Roman"/>
          <w:b/>
          <w:sz w:val="28"/>
          <w:szCs w:val="28"/>
        </w:rPr>
      </w:pP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1. COVID-19 условиях высокогорье имеет ряд клинических и лабораторных особенностей проявления.  Отмечается, отягощение клинических проявлений, что говорит о запуске дополнительных механизмов регуляций.</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2. Особенности проявления воспалительных реакций и их показателей связанные с дисбалансом ангиотензиновой системы. Так, регуляторные активность ангиотензина II посредством реализации эффекта через рецепторы ангиотензина 1 типа, обуславливает указанные выше особенности. Активация рецепторов приводит к выработке цитокинов, в последующем цитокины стимулирует выработка ангиотензина II, замыкая порочный круг в регуляция системы. Проникая в клетку sARS-CoV-2, погружается внутрь вместе с АПФ2, вызывая его дефицит. Таким образом происходит снижение контррегуляторной активности через АПФ2 и Mas-рецепторные пути. Снижение контррегуляций уменьшает противовоспалительные механизмы организма.</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3. Сдвиги в системе свёртывания крови у жителей высокогорного региона проявляются в сторону активации процесса свёртывания. Проявления активности, обосновывается прямым токсическим эффектами ИЛ-6 на эндотелий сосудов. Помимо этого, синтезирующиеся ангиотензин II  увеличивает фоновое состояние сердечно-сосудистой системы для отягощения дисбаланса в регуляции свёртывания. Параллельно с вышеуказанным, происходит снижение активности антиагрегантной эффектов реализуемых через Mas-рецепторы тромбоцитов, увеличивая первичную способность тромбоцитов к агрегации. </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4. Изменение показателей электролитов исследуемых из высокогорного региона относительно других когорт, объясняется реакцией на альдостерон. Ангиотензин два активируя рецепторы ангиотензина  1 типа стимулирует выработку альдестерона, с последующей активации реабсорбции натрия и секрецией калия в почечных канальцах, тем самым вызывая первичный </w:t>
      </w:r>
      <w:r w:rsidRPr="007732E8">
        <w:rPr>
          <w:rFonts w:ascii="Times New Roman" w:eastAsia="Calibri" w:hAnsi="Times New Roman" w:cs="Times New Roman"/>
          <w:sz w:val="28"/>
          <w:szCs w:val="28"/>
        </w:rPr>
        <w:lastRenderedPageBreak/>
        <w:t>дисбаланс. Параллельно с этим понижение эффектов поддерживает создаваемый альдостероном, сдвиг.</w:t>
      </w:r>
    </w:p>
    <w:p w:rsidR="007732E8" w:rsidRPr="007732E8" w:rsidRDefault="007732E8" w:rsidP="00343EA2">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5. Ментальное состояние исследуемой групп, проявляют реактивные показатели под воздействием информационного потока от сми. Особенности патогенеза COVID-19, со стимуляцией выработки ИЛ-6, которая в последующем активирует синтез ангиотензина II создает фон, активности симпатической нервной системы, общий стресс готовности организма, и избыточным взаимодействием с нейромедиаторы, формирует состояние ментального здоровья отягощающий воздействия негативной информации и вызывает тревожное состояние у исследуемых.</w:t>
      </w:r>
    </w:p>
    <w:p w:rsidR="00776051" w:rsidRDefault="00776051"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F2626D" w:rsidRDefault="00F2626D" w:rsidP="007732E8">
      <w:pPr>
        <w:spacing w:after="0" w:line="360" w:lineRule="auto"/>
        <w:jc w:val="both"/>
        <w:rPr>
          <w:rFonts w:ascii="Times New Roman" w:eastAsia="Calibri" w:hAnsi="Times New Roman" w:cs="Times New Roman"/>
          <w:sz w:val="28"/>
          <w:szCs w:val="28"/>
        </w:rPr>
      </w:pPr>
    </w:p>
    <w:p w:rsidR="00C04F24" w:rsidRPr="00C04F24" w:rsidRDefault="00C04F24" w:rsidP="00C04F24">
      <w:pPr>
        <w:spacing w:after="0" w:line="360" w:lineRule="auto"/>
        <w:jc w:val="center"/>
        <w:rPr>
          <w:rFonts w:ascii="Times New Roman" w:eastAsia="Calibri" w:hAnsi="Times New Roman" w:cs="Times New Roman"/>
          <w:b/>
          <w:sz w:val="28"/>
          <w:szCs w:val="28"/>
        </w:rPr>
      </w:pPr>
      <w:r w:rsidRPr="00C04F24">
        <w:rPr>
          <w:rFonts w:ascii="Times New Roman" w:eastAsia="Calibri" w:hAnsi="Times New Roman" w:cs="Times New Roman"/>
          <w:b/>
          <w:sz w:val="28"/>
          <w:szCs w:val="28"/>
        </w:rPr>
        <w:lastRenderedPageBreak/>
        <w:t>СПИСОК ИСПОЛЬЗОВАННОЙ ЛИТЕРАТУРЫ</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WHO. Coronavirus disease (COVID-19) pandemic. </w:t>
      </w:r>
      <w:r w:rsidRPr="00C04F24">
        <w:rPr>
          <w:rFonts w:ascii="Times New Roman" w:eastAsia="Calibri" w:hAnsi="Times New Roman" w:cs="Times New Roman"/>
          <w:sz w:val="28"/>
          <w:szCs w:val="28"/>
        </w:rPr>
        <w:t>[</w:t>
      </w:r>
      <w:r w:rsidRPr="00C04F24">
        <w:rPr>
          <w:rFonts w:ascii="Times New Roman" w:eastAsia="Calibri" w:hAnsi="Times New Roman" w:cs="Times New Roman"/>
          <w:sz w:val="28"/>
          <w:szCs w:val="28"/>
          <w:lang w:val="en-US"/>
        </w:rPr>
        <w:t>Cited</w:t>
      </w:r>
      <w:r w:rsidRPr="00C04F24">
        <w:rPr>
          <w:rFonts w:ascii="Times New Roman" w:eastAsia="Calibri" w:hAnsi="Times New Roman" w:cs="Times New Roman"/>
          <w:sz w:val="28"/>
          <w:szCs w:val="28"/>
        </w:rPr>
        <w:t xml:space="preserve"> 202. 1 </w:t>
      </w:r>
      <w:r w:rsidRPr="00C04F24">
        <w:rPr>
          <w:rFonts w:ascii="Times New Roman" w:eastAsia="Calibri" w:hAnsi="Times New Roman" w:cs="Times New Roman"/>
          <w:sz w:val="28"/>
          <w:szCs w:val="28"/>
          <w:lang w:val="en-US"/>
        </w:rPr>
        <w:t>March</w:t>
      </w:r>
      <w:r w:rsidRPr="00C04F24">
        <w:rPr>
          <w:rFonts w:ascii="Times New Roman" w:eastAsia="Calibri" w:hAnsi="Times New Roman" w:cs="Times New Roman"/>
          <w:sz w:val="28"/>
          <w:szCs w:val="28"/>
        </w:rPr>
        <w:t xml:space="preserve"> 19]. </w:t>
      </w:r>
      <w:r w:rsidRPr="00C04F24">
        <w:rPr>
          <w:rFonts w:ascii="Times New Roman" w:eastAsia="Calibri" w:hAnsi="Times New Roman" w:cs="Times New Roman"/>
          <w:sz w:val="28"/>
          <w:szCs w:val="28"/>
          <w:lang w:val="en-US"/>
        </w:rPr>
        <w:t>Available</w:t>
      </w:r>
      <w:r w:rsidRPr="00C04F24">
        <w:rPr>
          <w:rFonts w:ascii="Times New Roman" w:eastAsia="Calibri" w:hAnsi="Times New Roman" w:cs="Times New Roman"/>
          <w:sz w:val="28"/>
          <w:szCs w:val="28"/>
        </w:rPr>
        <w:t xml:space="preserve"> </w:t>
      </w:r>
      <w:r w:rsidRPr="00C04F24">
        <w:rPr>
          <w:rFonts w:ascii="Times New Roman" w:eastAsia="Calibri" w:hAnsi="Times New Roman" w:cs="Times New Roman"/>
          <w:sz w:val="28"/>
          <w:szCs w:val="28"/>
          <w:lang w:val="en-US"/>
        </w:rPr>
        <w:t>from</w:t>
      </w:r>
      <w:r w:rsidRPr="00C04F24">
        <w:rPr>
          <w:rFonts w:ascii="Times New Roman" w:eastAsia="Calibri" w:hAnsi="Times New Roman" w:cs="Times New Roman"/>
          <w:sz w:val="28"/>
          <w:szCs w:val="28"/>
        </w:rPr>
        <w:t>:</w:t>
      </w:r>
      <w:r w:rsidRPr="00C04F24">
        <w:rPr>
          <w:rFonts w:ascii="Times New Roman" w:eastAsia="Calibri" w:hAnsi="Times New Roman" w:cs="Times New Roman"/>
          <w:sz w:val="28"/>
          <w:szCs w:val="28"/>
          <w:lang w:val="en-US"/>
        </w:rPr>
        <w:t>https</w:t>
      </w:r>
      <w:r w:rsidRPr="00C04F24">
        <w:rPr>
          <w:rFonts w:ascii="Times New Roman" w:eastAsia="Calibri" w:hAnsi="Times New Roman" w:cs="Times New Roman"/>
          <w:sz w:val="28"/>
          <w:szCs w:val="28"/>
        </w:rPr>
        <w:t xml:space="preserve"> [Электронный ресурс]. – Режим доступа: // </w:t>
      </w:r>
      <w:r w:rsidRPr="00C04F24">
        <w:rPr>
          <w:rFonts w:ascii="Times New Roman" w:eastAsia="Calibri" w:hAnsi="Times New Roman" w:cs="Times New Roman"/>
          <w:sz w:val="28"/>
          <w:szCs w:val="28"/>
          <w:lang w:val="en-US"/>
        </w:rPr>
        <w:t>www</w:t>
      </w:r>
      <w:r w:rsidRPr="00C04F24">
        <w:rPr>
          <w:rFonts w:ascii="Times New Roman" w:eastAsia="Calibri" w:hAnsi="Times New Roman" w:cs="Times New Roman"/>
          <w:sz w:val="28"/>
          <w:szCs w:val="28"/>
        </w:rPr>
        <w:t>.</w:t>
      </w:r>
      <w:r w:rsidRPr="00C04F24">
        <w:rPr>
          <w:rFonts w:ascii="Times New Roman" w:eastAsia="Calibri" w:hAnsi="Times New Roman" w:cs="Times New Roman"/>
          <w:sz w:val="28"/>
          <w:szCs w:val="28"/>
          <w:lang w:val="en-US"/>
        </w:rPr>
        <w:t>who</w:t>
      </w:r>
      <w:r w:rsidRPr="00C04F24">
        <w:rPr>
          <w:rFonts w:ascii="Times New Roman" w:eastAsia="Calibri" w:hAnsi="Times New Roman" w:cs="Times New Roman"/>
          <w:sz w:val="28"/>
          <w:szCs w:val="28"/>
        </w:rPr>
        <w:t>.</w:t>
      </w:r>
      <w:r w:rsidRPr="00C04F24">
        <w:rPr>
          <w:rFonts w:ascii="Times New Roman" w:eastAsia="Calibri" w:hAnsi="Times New Roman" w:cs="Times New Roman"/>
          <w:sz w:val="28"/>
          <w:szCs w:val="28"/>
          <w:lang w:val="en-US"/>
        </w:rPr>
        <w:t>int</w:t>
      </w:r>
      <w:r w:rsidRPr="00C04F24">
        <w:rPr>
          <w:rFonts w:ascii="Times New Roman" w:eastAsia="Calibri" w:hAnsi="Times New Roman" w:cs="Times New Roman"/>
          <w:sz w:val="28"/>
          <w:szCs w:val="28"/>
        </w:rPr>
        <w:t>/</w:t>
      </w:r>
      <w:r w:rsidRPr="00C04F24">
        <w:rPr>
          <w:rFonts w:ascii="Times New Roman" w:eastAsia="Calibri" w:hAnsi="Times New Roman" w:cs="Times New Roman"/>
          <w:sz w:val="28"/>
          <w:szCs w:val="28"/>
          <w:lang w:val="en-US"/>
        </w:rPr>
        <w:t>emergencies</w:t>
      </w:r>
      <w:r w:rsidRPr="00C04F24">
        <w:rPr>
          <w:rFonts w:ascii="Times New Roman" w:eastAsia="Calibri" w:hAnsi="Times New Roman" w:cs="Times New Roman"/>
          <w:sz w:val="28"/>
          <w:szCs w:val="28"/>
        </w:rPr>
        <w:t>/</w:t>
      </w:r>
      <w:r w:rsidRPr="00C04F24">
        <w:rPr>
          <w:rFonts w:ascii="Times New Roman" w:eastAsia="Calibri" w:hAnsi="Times New Roman" w:cs="Times New Roman"/>
          <w:sz w:val="28"/>
          <w:szCs w:val="28"/>
          <w:lang w:val="en-US"/>
        </w:rPr>
        <w:t>diseases</w:t>
      </w:r>
      <w:r w:rsidRPr="00C04F24">
        <w:rPr>
          <w:rFonts w:ascii="Times New Roman" w:eastAsia="Calibri" w:hAnsi="Times New Roman" w:cs="Times New Roman"/>
          <w:sz w:val="28"/>
          <w:szCs w:val="28"/>
        </w:rPr>
        <w:t>/</w:t>
      </w:r>
      <w:r w:rsidRPr="00C04F24">
        <w:rPr>
          <w:rFonts w:ascii="Times New Roman" w:eastAsia="Calibri" w:hAnsi="Times New Roman" w:cs="Times New Roman"/>
          <w:sz w:val="28"/>
          <w:szCs w:val="28"/>
          <w:lang w:val="en-US"/>
        </w:rPr>
        <w:t>novel</w:t>
      </w:r>
      <w:r w:rsidRPr="00C04F24">
        <w:rPr>
          <w:rFonts w:ascii="Times New Roman" w:eastAsia="Calibri" w:hAnsi="Times New Roman" w:cs="Times New Roman"/>
          <w:sz w:val="28"/>
          <w:szCs w:val="28"/>
        </w:rPr>
        <w:t>-</w:t>
      </w:r>
      <w:r w:rsidRPr="00C04F24">
        <w:rPr>
          <w:rFonts w:ascii="Times New Roman" w:eastAsia="Calibri" w:hAnsi="Times New Roman" w:cs="Times New Roman"/>
          <w:sz w:val="28"/>
          <w:szCs w:val="28"/>
          <w:lang w:val="en-US"/>
        </w:rPr>
        <w:t>coronavirus</w:t>
      </w:r>
      <w:r w:rsidRPr="00C04F24">
        <w:rPr>
          <w:rFonts w:ascii="Times New Roman" w:eastAsia="Calibri" w:hAnsi="Times New Roman" w:cs="Times New Roman"/>
          <w:sz w:val="28"/>
          <w:szCs w:val="28"/>
        </w:rPr>
        <w:t>-2019. – Загл.с экрана.</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CDC. 2019. Novel Coronavirus, Wuhan, China. CDC</w:t>
      </w:r>
      <w:r w:rsidRPr="00C04F24">
        <w:rPr>
          <w:rFonts w:ascii="Times New Roman" w:eastAsia="Calibri" w:hAnsi="Times New Roman" w:cs="Times New Roman"/>
          <w:sz w:val="28"/>
          <w:szCs w:val="28"/>
        </w:rPr>
        <w:t>. [</w:t>
      </w:r>
      <w:r w:rsidRPr="00C04F24">
        <w:rPr>
          <w:rFonts w:ascii="Times New Roman" w:eastAsia="Calibri" w:hAnsi="Times New Roman" w:cs="Times New Roman"/>
          <w:sz w:val="28"/>
          <w:szCs w:val="28"/>
          <w:lang w:val="en-US"/>
        </w:rPr>
        <w:t>Cited</w:t>
      </w:r>
      <w:r w:rsidRPr="00C04F24">
        <w:rPr>
          <w:rFonts w:ascii="Times New Roman" w:eastAsia="Calibri" w:hAnsi="Times New Roman" w:cs="Times New Roman"/>
          <w:sz w:val="28"/>
          <w:szCs w:val="28"/>
        </w:rPr>
        <w:t xml:space="preserve"> 2021 </w:t>
      </w:r>
      <w:r w:rsidRPr="00C04F24">
        <w:rPr>
          <w:rFonts w:ascii="Times New Roman" w:eastAsia="Calibri" w:hAnsi="Times New Roman" w:cs="Times New Roman"/>
          <w:sz w:val="28"/>
          <w:szCs w:val="28"/>
          <w:lang w:val="en-US"/>
        </w:rPr>
        <w:t>March</w:t>
      </w:r>
      <w:r w:rsidRPr="00C04F24">
        <w:rPr>
          <w:rFonts w:ascii="Times New Roman" w:eastAsia="Calibri" w:hAnsi="Times New Roman" w:cs="Times New Roman"/>
          <w:sz w:val="28"/>
          <w:szCs w:val="28"/>
        </w:rPr>
        <w:t xml:space="preserve"> 19]. [Электронный ресурс]. – Режим доступа: </w:t>
      </w:r>
      <w:hyperlink r:id="rId35" w:history="1">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cdc</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gov</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coronavirus</w:t>
        </w:r>
        <w:r w:rsidRPr="00C04F24">
          <w:rPr>
            <w:rFonts w:ascii="Times New Roman" w:eastAsia="Calibri" w:hAnsi="Times New Roman" w:cs="Times New Roman"/>
            <w:color w:val="0563C1" w:themeColor="hyperlink"/>
            <w:sz w:val="28"/>
            <w:szCs w:val="28"/>
            <w:u w:val="single"/>
          </w:rPr>
          <w:t>/2019-</w:t>
        </w:r>
        <w:r w:rsidRPr="00C04F24">
          <w:rPr>
            <w:rFonts w:ascii="Times New Roman" w:eastAsia="Calibri" w:hAnsi="Times New Roman" w:cs="Times New Roman"/>
            <w:color w:val="0563C1" w:themeColor="hyperlink"/>
            <w:sz w:val="28"/>
            <w:szCs w:val="28"/>
            <w:u w:val="single"/>
            <w:lang w:val="en-US"/>
          </w:rPr>
          <w:t>ncov</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about</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index</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html</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Huang, C.</w:t>
      </w:r>
      <w:r w:rsidRPr="00C04F24">
        <w:rPr>
          <w:rFonts w:ascii="Times New Roman" w:eastAsia="Calibri" w:hAnsi="Times New Roman" w:cs="Times New Roman"/>
          <w:sz w:val="28"/>
          <w:szCs w:val="28"/>
          <w:lang w:val="en-US"/>
        </w:rPr>
        <w:t xml:space="preserve"> Clinical features of patients infected with 2019 novel coronavirus in Wuhan ChinpPa [Text] / C.Huang, Y.Wang, X.Li et al. // Lancet. – 2020. – Vol.395(10223). – P.497–506.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sz w:val="28"/>
          <w:szCs w:val="28"/>
          <w:lang w:val="en-US"/>
        </w:rPr>
        <w:t>Mahase ECOVID-19. WHO declares pandemic because of “alarming levels” of spread, severity and inaction [Text] // B.M.J. – 2020. – Vol.368. – P.M1036.</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Yan-Rong, G.</w:t>
      </w:r>
      <w:r w:rsidRPr="00C04F24">
        <w:rPr>
          <w:rFonts w:ascii="Times New Roman" w:eastAsia="Calibri" w:hAnsi="Times New Roman" w:cs="Times New Roman"/>
          <w:sz w:val="28"/>
          <w:szCs w:val="28"/>
          <w:lang w:val="en-US"/>
        </w:rPr>
        <w:t xml:space="preserve"> The origin, transmission and clinical therapies on coronavirus disease 2019 (COVID-19) outbreak-an update on the status [Text] / G. Yan-Pong, C.Qing-Dong, H.Zhong-Si et al. // Mil Med Res. -  2020. – Vol.7. – P.11.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WHO. WHO Director-General’s opening remarks at the media briefing on COVID19. </w:t>
      </w:r>
      <w:r w:rsidRPr="00C04F24">
        <w:rPr>
          <w:rFonts w:ascii="Times New Roman" w:eastAsia="Calibri" w:hAnsi="Times New Roman" w:cs="Times New Roman"/>
          <w:sz w:val="28"/>
          <w:szCs w:val="28"/>
        </w:rPr>
        <w:t>[</w:t>
      </w:r>
      <w:r w:rsidRPr="00C04F24">
        <w:rPr>
          <w:rFonts w:ascii="Times New Roman" w:eastAsia="Calibri" w:hAnsi="Times New Roman" w:cs="Times New Roman"/>
          <w:sz w:val="28"/>
          <w:szCs w:val="28"/>
          <w:lang w:val="en-US"/>
        </w:rPr>
        <w:t>Cited</w:t>
      </w:r>
      <w:r w:rsidRPr="00C04F24">
        <w:rPr>
          <w:rFonts w:ascii="Times New Roman" w:eastAsia="Calibri" w:hAnsi="Times New Roman" w:cs="Times New Roman"/>
          <w:sz w:val="28"/>
          <w:szCs w:val="28"/>
        </w:rPr>
        <w:t xml:space="preserve"> 2021 </w:t>
      </w:r>
      <w:r w:rsidRPr="00C04F24">
        <w:rPr>
          <w:rFonts w:ascii="Times New Roman" w:eastAsia="Calibri" w:hAnsi="Times New Roman" w:cs="Times New Roman"/>
          <w:sz w:val="28"/>
          <w:szCs w:val="28"/>
          <w:lang w:val="en-US"/>
        </w:rPr>
        <w:t>March</w:t>
      </w:r>
      <w:r w:rsidRPr="00C04F24">
        <w:rPr>
          <w:rFonts w:ascii="Times New Roman" w:eastAsia="Calibri" w:hAnsi="Times New Roman" w:cs="Times New Roman"/>
          <w:sz w:val="28"/>
          <w:szCs w:val="28"/>
        </w:rPr>
        <w:t xml:space="preserve"> 19]. [Электронный ресурс]. – Режим доступа: </w:t>
      </w:r>
      <w:hyperlink r:id="rId36"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euro</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who</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int</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en</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health</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topics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health</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emergencies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coronavirus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covid</w:t>
        </w:r>
        <w:r w:rsidRPr="00C04F24">
          <w:rPr>
            <w:rFonts w:ascii="Times New Roman" w:eastAsia="Calibri" w:hAnsi="Times New Roman" w:cs="Times New Roman"/>
            <w:color w:val="0563C1" w:themeColor="hyperlink"/>
            <w:sz w:val="28"/>
            <w:szCs w:val="28"/>
            <w:u w:val="single"/>
          </w:rPr>
          <w:t>-19/</w:t>
        </w:r>
        <w:r w:rsidRPr="00C04F24">
          <w:rPr>
            <w:rFonts w:ascii="Times New Roman" w:eastAsia="Calibri" w:hAnsi="Times New Roman" w:cs="Times New Roman"/>
            <w:color w:val="0563C1" w:themeColor="hyperlink"/>
            <w:sz w:val="28"/>
            <w:szCs w:val="28"/>
            <w:u w:val="single"/>
            <w:lang w:val="en-US"/>
          </w:rPr>
          <w:t>news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news</w:t>
        </w:r>
        <w:r w:rsidRPr="00C04F24">
          <w:rPr>
            <w:rFonts w:ascii="Times New Roman" w:eastAsia="Calibri" w:hAnsi="Times New Roman" w:cs="Times New Roman"/>
            <w:color w:val="0563C1" w:themeColor="hyperlink"/>
            <w:sz w:val="28"/>
            <w:szCs w:val="28"/>
            <w:u w:val="single"/>
          </w:rPr>
          <w:t>/2020/3/</w:t>
        </w:r>
        <w:r w:rsidRPr="00C04F24">
          <w:rPr>
            <w:rFonts w:ascii="Times New Roman" w:eastAsia="Calibri" w:hAnsi="Times New Roman" w:cs="Times New Roman"/>
            <w:color w:val="0563C1" w:themeColor="hyperlink"/>
            <w:sz w:val="28"/>
            <w:szCs w:val="28"/>
            <w:u w:val="single"/>
            <w:lang w:val="en-US"/>
          </w:rPr>
          <w:t>who</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announces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covid</w:t>
        </w:r>
        <w:r w:rsidRPr="00C04F24">
          <w:rPr>
            <w:rFonts w:ascii="Times New Roman" w:eastAsia="Calibri" w:hAnsi="Times New Roman" w:cs="Times New Roman"/>
            <w:color w:val="0563C1" w:themeColor="hyperlink"/>
            <w:sz w:val="28"/>
            <w:szCs w:val="28"/>
            <w:u w:val="single"/>
          </w:rPr>
          <w:t>-19-</w:t>
        </w:r>
        <w:r w:rsidRPr="00C04F24">
          <w:rPr>
            <w:rFonts w:ascii="Times New Roman" w:eastAsia="Calibri" w:hAnsi="Times New Roman" w:cs="Times New Roman"/>
            <w:color w:val="0563C1" w:themeColor="hyperlink"/>
            <w:sz w:val="28"/>
            <w:szCs w:val="28"/>
            <w:u w:val="single"/>
            <w:lang w:val="en-US"/>
          </w:rPr>
          <w:t>outbreak</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a</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pandemic</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Chakraborty, I.</w:t>
      </w:r>
      <w:r w:rsidRPr="00C04F24">
        <w:rPr>
          <w:rFonts w:ascii="Times New Roman" w:eastAsia="Calibri" w:hAnsi="Times New Roman" w:cs="Times New Roman"/>
          <w:sz w:val="28"/>
          <w:szCs w:val="28"/>
          <w:lang w:val="en-US"/>
        </w:rPr>
        <w:t xml:space="preserve"> COVID-19 outbreak: migration, effects on society, global environment and prevention [Text] / I. Chakraborty, P.Maity // SciTotal Environ. – 2020. – Vol.728. – P.138-882.</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Ye, Z.W.</w:t>
      </w:r>
      <w:r w:rsidRPr="00C04F24">
        <w:rPr>
          <w:rFonts w:ascii="Times New Roman" w:eastAsia="Calibri" w:hAnsi="Times New Roman" w:cs="Times New Roman"/>
          <w:sz w:val="28"/>
          <w:szCs w:val="28"/>
          <w:lang w:val="en-US"/>
        </w:rPr>
        <w:t xml:space="preserve"> Zoonotic origins of human coronaviruses [Text] / Z.W.Ye, S.Yuan, K.S.Yuen et al. // Int J Biol Sci. – 2020. – Vol.16(10). – P.1686–1697.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Li, H.</w:t>
      </w:r>
      <w:r w:rsidRPr="00C04F24">
        <w:rPr>
          <w:rFonts w:ascii="Times New Roman" w:eastAsia="Calibri" w:hAnsi="Times New Roman" w:cs="Times New Roman"/>
          <w:sz w:val="28"/>
          <w:szCs w:val="28"/>
          <w:lang w:val="en-US"/>
        </w:rPr>
        <w:t xml:space="preserve"> Coronavirus disease 2019 (COVID-19): current status and future perspectives [Text] / H.Li, S.M. Liu, X.H.Yu // Int J.Antimicrob Agents. – 2020. – Vol.55(5). – P.105951.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lastRenderedPageBreak/>
        <w:t>Mackenzie, J.S.</w:t>
      </w:r>
      <w:r w:rsidRPr="00C04F24">
        <w:rPr>
          <w:rFonts w:ascii="Times New Roman" w:eastAsia="Calibri" w:hAnsi="Times New Roman" w:cs="Times New Roman"/>
          <w:sz w:val="28"/>
          <w:szCs w:val="28"/>
          <w:lang w:val="en-US"/>
        </w:rPr>
        <w:t xml:space="preserve"> COVID-19: a novel zoonotic disease caused by a coronavirus from China: what we know andwhat we don’t [Text] / Microbiol Aust. – 2020. – P.MA20013.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Pan, A. </w:t>
      </w:r>
      <w:r w:rsidRPr="00C04F24">
        <w:rPr>
          <w:rFonts w:ascii="Times New Roman" w:eastAsia="Calibri" w:hAnsi="Times New Roman" w:cs="Times New Roman"/>
          <w:sz w:val="28"/>
          <w:szCs w:val="28"/>
          <w:lang w:val="en-US"/>
        </w:rPr>
        <w:t xml:space="preserve">Association of Public Health Interventions With the Epidemiology of the COVID-19Outbreak in Wuhan, China [Text] / A. Pan, L. Liu, C. Wang  // JAMA. – 2020. – Vol.323(19). – P.1915–1923.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Atkins, P.</w:t>
      </w:r>
      <w:r w:rsidRPr="00C04F24">
        <w:rPr>
          <w:rFonts w:ascii="Times New Roman" w:eastAsia="Calibri" w:hAnsi="Times New Roman" w:cs="Times New Roman"/>
          <w:sz w:val="28"/>
          <w:szCs w:val="28"/>
          <w:lang w:val="en-US"/>
        </w:rPr>
        <w:t xml:space="preserve"> Guide to the COVID-19 Outbreak [Text] / P.Atkins? R.Bierman, A.Chemists // Cannabis Sci Tech. – 2020. – Vol.3(5). – P.39–45.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Nuccetelli, M.</w:t>
      </w:r>
      <w:r w:rsidRPr="00C04F24">
        <w:rPr>
          <w:rFonts w:ascii="Times New Roman" w:eastAsia="Calibri" w:hAnsi="Times New Roman" w:cs="Times New Roman"/>
          <w:sz w:val="28"/>
          <w:szCs w:val="28"/>
          <w:lang w:val="en-US"/>
        </w:rPr>
        <w:t xml:space="preserve"> SARS-CoV-2 infection serology: a useful tool to overcome lockdown? [Text] / M.Nuccetelli, M.Pieri, S.Grelli et al.// Cell DeathDiscov. – 2020. – Vol.6(1). – P.38.</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Paules, C.I.</w:t>
      </w:r>
      <w:r w:rsidRPr="00C04F24">
        <w:rPr>
          <w:rFonts w:ascii="Times New Roman" w:eastAsia="Calibri" w:hAnsi="Times New Roman" w:cs="Times New Roman"/>
          <w:sz w:val="28"/>
          <w:szCs w:val="28"/>
          <w:lang w:val="en-US"/>
        </w:rPr>
        <w:t xml:space="preserve"> Coronavirus Infections-More Than Just the Common Cold [Text] / C.I.Paules, H.D.Marston, A.S.Fauci // JAMA. – 2020. Vol.323(8). – P.707–708.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Pal, M.</w:t>
      </w:r>
      <w:r w:rsidRPr="00C04F24">
        <w:rPr>
          <w:rFonts w:ascii="Times New Roman" w:eastAsia="Calibri" w:hAnsi="Times New Roman" w:cs="Times New Roman"/>
          <w:sz w:val="28"/>
          <w:szCs w:val="28"/>
          <w:lang w:val="en-US"/>
        </w:rPr>
        <w:t xml:space="preserve"> Severe Acute Respiratory Syndrome Coronavirus-2 (SARS-CoV-2): an Update [Text] / M. Pal, G. Berhanu, C. Desalegn et al. // Cureus. – 2020. – Vol.12(3). – P.e7423.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Wang, Q.</w:t>
      </w:r>
      <w:r w:rsidRPr="00C04F24">
        <w:rPr>
          <w:rFonts w:ascii="Times New Roman" w:eastAsia="Calibri" w:hAnsi="Times New Roman" w:cs="Times New Roman"/>
          <w:sz w:val="28"/>
          <w:szCs w:val="28"/>
          <w:lang w:val="en-US"/>
        </w:rPr>
        <w:t xml:space="preserve"> Cleavage Site Predicted in the Spike Protein of the Novel Pneumonia Coronavirus (2019-nCoV) Potentially Related to Viral Transmissibility [Text] / Q.Wang, Y.Qiu, J.Y. Li et al. //  Virol Sin. – 2020. – Vol.35(3). – P.337–339.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b/>
          <w:bCs/>
          <w:sz w:val="28"/>
          <w:szCs w:val="28"/>
          <w:lang w:val="en-US"/>
        </w:rPr>
        <w:t>Lan</w:t>
      </w:r>
      <w:r w:rsidRPr="00C04F24">
        <w:rPr>
          <w:rFonts w:ascii="Times New Roman" w:eastAsia="Calibri" w:hAnsi="Times New Roman" w:cs="Times New Roman"/>
          <w:b/>
          <w:bCs/>
          <w:sz w:val="28"/>
          <w:szCs w:val="28"/>
        </w:rPr>
        <w:t xml:space="preserve">, </w:t>
      </w:r>
      <w:r w:rsidRPr="00C04F24">
        <w:rPr>
          <w:rFonts w:ascii="Times New Roman" w:eastAsia="Calibri" w:hAnsi="Times New Roman" w:cs="Times New Roman"/>
          <w:b/>
          <w:bCs/>
          <w:sz w:val="28"/>
          <w:szCs w:val="28"/>
          <w:lang w:val="en-US"/>
        </w:rPr>
        <w:t>J</w:t>
      </w:r>
      <w:r w:rsidRPr="00C04F24">
        <w:rPr>
          <w:rFonts w:ascii="Times New Roman" w:eastAsia="Calibri" w:hAnsi="Times New Roman" w:cs="Times New Roman"/>
          <w:b/>
          <w:bCs/>
          <w:sz w:val="28"/>
          <w:szCs w:val="28"/>
        </w:rPr>
        <w:t>.</w:t>
      </w:r>
      <w:r w:rsidRPr="00C04F24">
        <w:rPr>
          <w:rFonts w:ascii="Times New Roman" w:eastAsia="Calibri" w:hAnsi="Times New Roman" w:cs="Times New Roman"/>
          <w:sz w:val="28"/>
          <w:szCs w:val="28"/>
        </w:rPr>
        <w:t xml:space="preserve"> [Электронный ресурс] / </w:t>
      </w:r>
      <w:r w:rsidRPr="00C04F24">
        <w:rPr>
          <w:rFonts w:ascii="Times New Roman" w:eastAsia="Calibri" w:hAnsi="Times New Roman" w:cs="Times New Roman"/>
          <w:sz w:val="28"/>
          <w:szCs w:val="28"/>
          <w:lang w:val="en-US"/>
        </w:rPr>
        <w:t>J</w:t>
      </w:r>
      <w:r w:rsidRPr="00C04F24">
        <w:rPr>
          <w:rFonts w:ascii="Times New Roman" w:eastAsia="Calibri" w:hAnsi="Times New Roman" w:cs="Times New Roman"/>
          <w:sz w:val="28"/>
          <w:szCs w:val="28"/>
        </w:rPr>
        <w:t xml:space="preserve">. </w:t>
      </w:r>
      <w:r w:rsidRPr="00C04F24">
        <w:rPr>
          <w:rFonts w:ascii="Times New Roman" w:eastAsia="Calibri" w:hAnsi="Times New Roman" w:cs="Times New Roman"/>
          <w:sz w:val="28"/>
          <w:szCs w:val="28"/>
          <w:lang w:val="en-US"/>
        </w:rPr>
        <w:t>Lan</w:t>
      </w:r>
      <w:r w:rsidRPr="00C04F24">
        <w:rPr>
          <w:rFonts w:ascii="Times New Roman" w:eastAsia="Calibri" w:hAnsi="Times New Roman" w:cs="Times New Roman"/>
          <w:sz w:val="28"/>
          <w:szCs w:val="28"/>
        </w:rPr>
        <w:t xml:space="preserve">. – Режим доступа. -  2020;581(7807):215–220. </w:t>
      </w:r>
      <w:hyperlink r:id="rId37"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nature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com</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articles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s</w:t>
        </w:r>
        <w:r w:rsidRPr="00C04F24">
          <w:rPr>
            <w:rFonts w:ascii="Times New Roman" w:eastAsia="Calibri" w:hAnsi="Times New Roman" w:cs="Times New Roman"/>
            <w:color w:val="0563C1" w:themeColor="hyperlink"/>
            <w:sz w:val="28"/>
            <w:szCs w:val="28"/>
            <w:u w:val="single"/>
          </w:rPr>
          <w:t>41586-020-2180-5</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CDC. Human Coronavirus Types [Cited 2021 March 19]. Available</w:t>
      </w:r>
      <w:r w:rsidRPr="00C04F24">
        <w:rPr>
          <w:rFonts w:ascii="Times New Roman" w:eastAsia="Calibri" w:hAnsi="Times New Roman" w:cs="Times New Roman"/>
          <w:sz w:val="28"/>
          <w:szCs w:val="28"/>
        </w:rPr>
        <w:t xml:space="preserve"> </w:t>
      </w:r>
      <w:r w:rsidRPr="00C04F24">
        <w:rPr>
          <w:rFonts w:ascii="Times New Roman" w:eastAsia="Calibri" w:hAnsi="Times New Roman" w:cs="Times New Roman"/>
          <w:sz w:val="28"/>
          <w:szCs w:val="28"/>
          <w:lang w:val="en-US"/>
        </w:rPr>
        <w:t>from</w:t>
      </w:r>
      <w:r w:rsidRPr="00C04F24">
        <w:rPr>
          <w:rFonts w:ascii="Times New Roman" w:eastAsia="Calibri" w:hAnsi="Times New Roman" w:cs="Times New Roman"/>
          <w:sz w:val="28"/>
          <w:szCs w:val="28"/>
        </w:rPr>
        <w:t xml:space="preserve"> [Электронный ресурс]. – Режим доступа: </w:t>
      </w:r>
      <w:hyperlink r:id="rId38"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cdc</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gov</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coronavirus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types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html</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Millet, J.K. </w:t>
      </w:r>
      <w:r w:rsidRPr="00C04F24">
        <w:rPr>
          <w:rFonts w:ascii="Times New Roman" w:eastAsia="Calibri" w:hAnsi="Times New Roman" w:cs="Times New Roman"/>
          <w:sz w:val="28"/>
          <w:szCs w:val="28"/>
          <w:lang w:val="en-US"/>
        </w:rPr>
        <w:t xml:space="preserve">Host cell proteases: critical determinants of coronavirus tropism and pathogenesis [Text] / J.K. Millet, G.R. Whiiaker // VirusRes. – 2015. – Vol.202. – P.120–134.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lastRenderedPageBreak/>
        <w:t xml:space="preserve">Wang, N. </w:t>
      </w:r>
      <w:r w:rsidRPr="00C04F24">
        <w:rPr>
          <w:rFonts w:ascii="Times New Roman" w:eastAsia="Calibri" w:hAnsi="Times New Roman" w:cs="Times New Roman"/>
          <w:sz w:val="28"/>
          <w:szCs w:val="28"/>
          <w:lang w:val="en-US"/>
        </w:rPr>
        <w:t xml:space="preserve">Subunit Vaccines Against Emerging Pathogenic Human Coronaviruses [Text] / N. Wang, J. Shang, S. Jiang et al. // FrontMicrobiol. – 2020. – Vol.11. – P.298.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Kim, D.</w:t>
      </w:r>
      <w:r w:rsidRPr="00C04F24">
        <w:rPr>
          <w:rFonts w:ascii="Times New Roman" w:eastAsia="Calibri" w:hAnsi="Times New Roman" w:cs="Times New Roman"/>
          <w:sz w:val="28"/>
          <w:szCs w:val="28"/>
          <w:lang w:val="en-US"/>
        </w:rPr>
        <w:t xml:space="preserve"> The Architecture of SARS-CoV-2 Transcriptome [Text] / D. Kim, J.Y. Lee, J.S. Yang et al. //   Cell. – 2020. – Vol.14(181). – P.914–21.e10.</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Duan, L.</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color w:val="282828"/>
          <w:sz w:val="28"/>
          <w:szCs w:val="28"/>
          <w:shd w:val="clear" w:color="auto" w:fill="F7F7F7"/>
          <w:lang w:val="en-US"/>
        </w:rPr>
        <w:t>The SARS-CoV-2 Spike Glycoprotein Biosynthesis, Structure, Function, and Antigenicity: Implications for the Design of Spike-Based Vaccine Immunogens</w:t>
      </w:r>
      <w:r w:rsidRPr="00C04F24">
        <w:rPr>
          <w:rFonts w:ascii="Times New Roman" w:eastAsia="Calibri" w:hAnsi="Times New Roman" w:cs="Times New Roman"/>
          <w:sz w:val="28"/>
          <w:szCs w:val="28"/>
          <w:lang w:val="en-US"/>
        </w:rPr>
        <w:t xml:space="preserve"> [Text] / Front Immunol. – 2020. – Vol.11. – P.576-622.</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Schoeman, D.</w:t>
      </w:r>
      <w:r w:rsidRPr="00C04F24">
        <w:rPr>
          <w:rFonts w:ascii="Times New Roman" w:eastAsia="Calibri" w:hAnsi="Times New Roman" w:cs="Times New Roman"/>
          <w:sz w:val="28"/>
          <w:szCs w:val="28"/>
          <w:lang w:val="en-US"/>
        </w:rPr>
        <w:t xml:space="preserve"> Coronavirus envelope protein: current knowledge [Text] / D. Schoeman, B.C. Fielding // Virol J. – 2019. – P.16-69.</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Chang, C.K.</w:t>
      </w:r>
      <w:r w:rsidRPr="00C04F24">
        <w:rPr>
          <w:rFonts w:ascii="Times New Roman" w:eastAsia="Calibri" w:hAnsi="Times New Roman" w:cs="Times New Roman"/>
          <w:sz w:val="28"/>
          <w:szCs w:val="28"/>
          <w:lang w:val="en-US"/>
        </w:rPr>
        <w:t xml:space="preserve"> The SARS coronavirus nucleocapsid protein--forms and functions [Text] / C.K. Chang, M.H. Hou, C.F. Chang // Antiviral Res. – 2014. – Vol.103. – P.39–50.</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Hoffmann, M.</w:t>
      </w:r>
      <w:r w:rsidRPr="00C04F24">
        <w:rPr>
          <w:rFonts w:ascii="Times New Roman" w:eastAsia="Calibri" w:hAnsi="Times New Roman" w:cs="Times New Roman"/>
          <w:sz w:val="28"/>
          <w:szCs w:val="28"/>
          <w:lang w:val="en-US"/>
        </w:rPr>
        <w:t xml:space="preserve"> Site in the Spike Protein of SARS-CoV-2 Is Essential for Infection of Human Lung Cells [Text] / M. Hoffmann, H. Kleine -Weber, S. Pöhlmann // Mol Cell. – 2020. – Vol.78(779–84.e5). – P.779–784.e5.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Hayashi, T.</w:t>
      </w:r>
      <w:r w:rsidRPr="00C04F24">
        <w:rPr>
          <w:rFonts w:ascii="Times New Roman" w:eastAsia="Calibri" w:hAnsi="Times New Roman" w:cs="Times New Roman"/>
          <w:sz w:val="28"/>
          <w:szCs w:val="28"/>
          <w:lang w:val="en-US"/>
        </w:rPr>
        <w:t xml:space="preserve"> Reasons why new coronavirus, SARS-CoV-2 infections are likely to spread [Text] / T.Hayashi, T.Ura, K. Abiko // J GenetMed Gene Ther. – 2020. – Vol.3(1). – P.001–003.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Wrapp, D.</w:t>
      </w:r>
      <w:r w:rsidRPr="00C04F24">
        <w:rPr>
          <w:rFonts w:ascii="Times New Roman" w:eastAsia="Calibri" w:hAnsi="Times New Roman" w:cs="Times New Roman"/>
          <w:sz w:val="28"/>
          <w:szCs w:val="28"/>
          <w:lang w:val="en-US"/>
        </w:rPr>
        <w:t xml:space="preserve"> Cryo-EM structure of the 2019-nCoV spike in the prefusion conformation [Text] /  D.Wrapp, N.Wang, K.S. Corbett et al. // Science. – 2020. – Vol.367(6483). – P.1260–1263.</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Li, F. </w:t>
      </w:r>
      <w:r w:rsidRPr="00C04F24">
        <w:rPr>
          <w:rFonts w:ascii="Times New Roman" w:eastAsia="Calibri" w:hAnsi="Times New Roman" w:cs="Times New Roman"/>
          <w:sz w:val="28"/>
          <w:szCs w:val="28"/>
          <w:lang w:val="en-US"/>
        </w:rPr>
        <w:t>Structure of SARS coronavirus spike receptor-binding domain complexed with receptor [Text] / F. Li, W. Li, M. Farzan et al. // Science. – 2005. – Sept.16. – Vol.309(5742). – P.1864–1868.</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Park, J.E.</w:t>
      </w:r>
      <w:r w:rsidRPr="00C04F24">
        <w:rPr>
          <w:rFonts w:ascii="Times New Roman" w:eastAsia="Calibri" w:hAnsi="Times New Roman" w:cs="Times New Roman"/>
          <w:sz w:val="28"/>
          <w:szCs w:val="28"/>
          <w:lang w:val="en-US"/>
        </w:rPr>
        <w:t xml:space="preserve"> Proteolytic processing of Middle East respiratory syndrome coronavirus spikesexpands virus tropism [Text] / J.E.Park, K.Li, A. Barlan // Proc Natl Acad Sci USA. – 2016. – Oct.25. – Vol.113(43). – P.12262–12267.</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lastRenderedPageBreak/>
        <w:t>Zhou, P.</w:t>
      </w:r>
      <w:r w:rsidRPr="00C04F24">
        <w:rPr>
          <w:rFonts w:ascii="Times New Roman" w:eastAsia="Calibri" w:hAnsi="Times New Roman" w:cs="Times New Roman"/>
          <w:sz w:val="28"/>
          <w:szCs w:val="28"/>
          <w:lang w:val="en-US"/>
        </w:rPr>
        <w:t xml:space="preserve"> A pneumonia outbreak associated with a new coronavirus of probable bat origin [Text] / P.Zhou, X.L. Yang, X.G. Wang et al.// Nature. – 2020. – Vol.579(7798). – P.270–273.</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Hamming, I.</w:t>
      </w:r>
      <w:r w:rsidRPr="00C04F24">
        <w:rPr>
          <w:rFonts w:ascii="Times New Roman" w:eastAsia="Calibri" w:hAnsi="Times New Roman" w:cs="Times New Roman"/>
          <w:sz w:val="28"/>
          <w:szCs w:val="28"/>
          <w:lang w:val="en-US"/>
        </w:rPr>
        <w:t xml:space="preserve"> Tissue distribution of ACE2 protein, the functional receptor for SARScoronavirus. A first step in understanding SARS pathogenesis [Text] / I. Hamming, W. Timens, M.L. Bulthuis et al // J Pathol. – 2004. – Vol.203(2). – P.631–637.</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Watanabe, Y.</w:t>
      </w:r>
      <w:r w:rsidRPr="00C04F24">
        <w:rPr>
          <w:rFonts w:ascii="Times New Roman" w:eastAsia="Calibri" w:hAnsi="Times New Roman" w:cs="Times New Roman"/>
          <w:sz w:val="28"/>
          <w:szCs w:val="28"/>
          <w:lang w:val="en-US"/>
        </w:rPr>
        <w:t xml:space="preserve"> Exploitation of glycosylation in enveloped virus pathobiology [Text] / Y. Watanabe, T.A. Bowden, I.A. Wilson et al. // BiochimBiophys Acta Gen Subj. – 2019. – Vol.1863. – P.1480–1497.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Barile, E.</w:t>
      </w:r>
      <w:r w:rsidRPr="00C04F24">
        <w:rPr>
          <w:rFonts w:ascii="Times New Roman" w:eastAsia="Calibri" w:hAnsi="Times New Roman" w:cs="Times New Roman"/>
          <w:sz w:val="28"/>
          <w:szCs w:val="28"/>
          <w:lang w:val="en-US"/>
        </w:rPr>
        <w:t xml:space="preserve"> Potential Therapeutic Targeting of Coronavirus Spike Glycoprotein Priming [Text] / E. Barile, C. Baggio, L. Gambini et al. // Molecules. – 2020. – Vol.25(10). – P.2424.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Tang, T.</w:t>
      </w:r>
      <w:r w:rsidRPr="00C04F24">
        <w:rPr>
          <w:rFonts w:ascii="Times New Roman" w:eastAsia="Calibri" w:hAnsi="Times New Roman" w:cs="Times New Roman"/>
          <w:sz w:val="28"/>
          <w:szCs w:val="28"/>
          <w:lang w:val="en-US"/>
        </w:rPr>
        <w:t xml:space="preserve"> Coronavirus membrane fusion mechanism offers a potential target for antiviraldevelopment [Text] / T. Tang, M. Bidon, J.A. Jaimes et al. // Antiviral Res. – 2020. – Vol.178. – P.104792.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Astuti, I.</w:t>
      </w:r>
      <w:r w:rsidRPr="00C04F24">
        <w:rPr>
          <w:rFonts w:ascii="Times New Roman" w:eastAsia="Calibri" w:hAnsi="Times New Roman" w:cs="Times New Roman"/>
          <w:sz w:val="28"/>
          <w:szCs w:val="28"/>
          <w:lang w:val="en-US"/>
        </w:rPr>
        <w:t xml:space="preserve"> Severe Acute Respiratory Syndrome Coronavirus 2 (SARS-CoV-2): an overview of viral structure andhost response [Text] / I. Astuti // Diabetes Metab Syndr. – 2020. Vol.14(4). – P.407–412.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Liu, J.</w:t>
      </w:r>
      <w:r w:rsidRPr="00C04F24">
        <w:rPr>
          <w:rFonts w:ascii="Times New Roman" w:eastAsia="Calibri" w:hAnsi="Times New Roman" w:cs="Times New Roman"/>
          <w:sz w:val="28"/>
          <w:szCs w:val="28"/>
          <w:lang w:val="en-US"/>
        </w:rPr>
        <w:t xml:space="preserve"> Overlapping and discrete aspects of the pathology and pathogenesis of the emerginghuman pathogenic coronaviruses SARS-CoV, MERS-CoV, and 2019-nCoV [Text] / J.Liu, X.Zheng,Q.Tong et al. // J Med Virol. – 2020. – Vol.92(5). – P.491–494.</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rPr>
        <w:t xml:space="preserve">Число умерших от </w:t>
      </w:r>
      <w:r w:rsidRPr="00C04F24">
        <w:rPr>
          <w:rFonts w:ascii="Times New Roman" w:eastAsia="Calibri" w:hAnsi="Times New Roman" w:cs="Times New Roman"/>
          <w:sz w:val="28"/>
          <w:szCs w:val="28"/>
          <w:lang w:val="en-US"/>
        </w:rPr>
        <w:t>COVID</w:t>
      </w:r>
      <w:r w:rsidRPr="00C04F24">
        <w:rPr>
          <w:rFonts w:ascii="Times New Roman" w:eastAsia="Calibri" w:hAnsi="Times New Roman" w:cs="Times New Roman"/>
          <w:sz w:val="28"/>
          <w:szCs w:val="28"/>
        </w:rPr>
        <w:t xml:space="preserve">-19 в мире может быть в два–три раза выше официальной цифры [Электронный ресурс]. – Режим доступа: </w:t>
      </w:r>
      <w:hyperlink r:id="rId39" w:history="1">
        <w:r w:rsidRPr="00C04F24">
          <w:rPr>
            <w:rFonts w:ascii="Times New Roman" w:eastAsia="Calibri" w:hAnsi="Times New Roman" w:cs="Times New Roman"/>
            <w:color w:val="0563C1" w:themeColor="hyperlink"/>
            <w:sz w:val="28"/>
            <w:szCs w:val="28"/>
            <w:u w:val="single"/>
          </w:rPr>
          <w:t>https://news.un.org/ru/story/2021/05/1403362</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Sorci, G.</w:t>
      </w:r>
      <w:r w:rsidRPr="00C04F24">
        <w:rPr>
          <w:rFonts w:ascii="Times New Roman" w:eastAsia="Calibri" w:hAnsi="Times New Roman" w:cs="Times New Roman"/>
          <w:sz w:val="28"/>
          <w:szCs w:val="28"/>
          <w:lang w:val="en-US"/>
        </w:rPr>
        <w:t xml:space="preserve"> Explaining among-country variation in COVID-19 case fatality rate [Text] / G.Sorci, S. Morand, B. Faivre // Sci Rep. – 2020. – Vol.10(1). – P.189-09.</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rPr>
        <w:lastRenderedPageBreak/>
        <w:t xml:space="preserve">Коронавирус в Кыргызстане. Карта распространения [Электронный ресурс]. – Режим доступа: </w:t>
      </w:r>
      <w:hyperlink r:id="rId40" w:anchor="region-99" w:history="1">
        <w:r w:rsidRPr="00C04F24">
          <w:rPr>
            <w:rFonts w:ascii="Times New Roman" w:eastAsia="Calibri" w:hAnsi="Times New Roman" w:cs="Times New Roman"/>
            <w:color w:val="0563C1" w:themeColor="hyperlink"/>
            <w:sz w:val="28"/>
            <w:szCs w:val="28"/>
            <w:u w:val="single"/>
          </w:rPr>
          <w:t>https://akipress.org/dolbor/covid-19/?hl=ru#region-99</w:t>
        </w:r>
      </w:hyperlink>
      <w:r w:rsidRPr="00C04F24">
        <w:rPr>
          <w:rFonts w:ascii="Times New Roman" w:eastAsia="Calibri" w:hAnsi="Times New Roman" w:cs="Times New Roman"/>
          <w:color w:val="0563C1" w:themeColor="hyperlink"/>
          <w:sz w:val="28"/>
          <w:szCs w:val="28"/>
          <w:u w:val="single"/>
        </w:rPr>
        <w:t xml:space="preserve"> . </w:t>
      </w:r>
      <w:r w:rsidRPr="00C04F24">
        <w:rPr>
          <w:rFonts w:ascii="Times New Roman" w:eastAsia="Calibri" w:hAnsi="Times New Roman" w:cs="Times New Roman"/>
          <w:sz w:val="28"/>
          <w:szCs w:val="28"/>
        </w:rPr>
        <w:t>–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rPr>
        <w:t xml:space="preserve">Численность постоянного населения на начало года [Электронный ресурс]. – Режим доступа: http://www.stat.kg/ru/opendata/category/39/. – Загл.с экрана.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COVID-19 in US and Canada. Real Time Updates With Credible Sources (англ.). </w:t>
      </w:r>
      <w:r w:rsidRPr="00C04F24">
        <w:rPr>
          <w:rFonts w:ascii="Times New Roman" w:eastAsia="Calibri" w:hAnsi="Times New Roman" w:cs="Times New Roman"/>
          <w:sz w:val="28"/>
          <w:szCs w:val="28"/>
        </w:rPr>
        <w:t>1</w:t>
      </w:r>
      <w:r w:rsidRPr="00C04F24">
        <w:rPr>
          <w:rFonts w:ascii="Times New Roman" w:eastAsia="Calibri" w:hAnsi="Times New Roman" w:cs="Times New Roman"/>
          <w:sz w:val="28"/>
          <w:szCs w:val="28"/>
          <w:lang w:val="en-US"/>
        </w:rPr>
        <w:t>point</w:t>
      </w:r>
      <w:r w:rsidRPr="00C04F24">
        <w:rPr>
          <w:rFonts w:ascii="Times New Roman" w:eastAsia="Calibri" w:hAnsi="Times New Roman" w:cs="Times New Roman"/>
          <w:sz w:val="28"/>
          <w:szCs w:val="28"/>
        </w:rPr>
        <w:t>3</w:t>
      </w:r>
      <w:r w:rsidRPr="00C04F24">
        <w:rPr>
          <w:rFonts w:ascii="Times New Roman" w:eastAsia="Calibri" w:hAnsi="Times New Roman" w:cs="Times New Roman"/>
          <w:sz w:val="28"/>
          <w:szCs w:val="28"/>
          <w:lang w:val="en-US"/>
        </w:rPr>
        <w:t>acres</w:t>
      </w:r>
      <w:r w:rsidRPr="00C04F24">
        <w:rPr>
          <w:rFonts w:ascii="Times New Roman" w:eastAsia="Calibri" w:hAnsi="Times New Roman" w:cs="Times New Roman"/>
          <w:sz w:val="28"/>
          <w:szCs w:val="28"/>
        </w:rPr>
        <w:t xml:space="preserve"> (1 мая 2020). [Электронный ресурс]. – Режим доступа: </w:t>
      </w:r>
      <w:hyperlink r:id="rId41" w:history="1">
        <w:r w:rsidRPr="00C04F24">
          <w:rPr>
            <w:rFonts w:ascii="Times New Roman" w:eastAsia="Calibri" w:hAnsi="Times New Roman" w:cs="Times New Roman"/>
            <w:color w:val="0563C1" w:themeColor="hyperlink"/>
            <w:sz w:val="28"/>
            <w:szCs w:val="28"/>
            <w:u w:val="single"/>
          </w:rPr>
          <w:t>http://www.stat.kg/ru/opendata/category/39</w:t>
        </w:r>
      </w:hyperlink>
      <w:r w:rsidRPr="00C04F24">
        <w:rPr>
          <w:rFonts w:ascii="Times New Roman" w:eastAsia="Calibri" w:hAnsi="Times New Roman" w:cs="Times New Roman"/>
          <w:sz w:val="28"/>
          <w:szCs w:val="28"/>
        </w:rPr>
        <w:t xml:space="preserve"> /. – Загл.с экрана.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rPr>
        <w:t xml:space="preserve">Включены данные некорпоративных территорий Пуэрто-Рико, Гуам, Американское Самоа, Северные Марианские острова и Виргинские острова [Электронный ресурс]. – Режим доступа:  </w:t>
      </w:r>
      <w:hyperlink r:id="rId42"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ru</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wikipedia</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org</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index</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php</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title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0%</w:t>
        </w:r>
        <w:r w:rsidRPr="00C04F24">
          <w:rPr>
            <w:rFonts w:ascii="Times New Roman" w:eastAsia="Calibri" w:hAnsi="Times New Roman" w:cs="Times New Roman"/>
            <w:color w:val="0563C1" w:themeColor="hyperlink"/>
            <w:sz w:val="28"/>
            <w:szCs w:val="28"/>
            <w:u w:val="single"/>
            <w:lang w:val="en-US"/>
          </w:rPr>
          <w:t>A</w:t>
        </w:r>
        <w:r w:rsidRPr="00C04F24">
          <w:rPr>
            <w:rFonts w:ascii="Times New Roman" w:eastAsia="Calibri" w:hAnsi="Times New Roman" w:cs="Times New Roman"/>
            <w:color w:val="0563C1" w:themeColor="hyperlink"/>
            <w:sz w:val="28"/>
            <w:szCs w:val="28"/>
            <w:u w:val="single"/>
          </w:rPr>
          <w:t>1%</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0%</w:t>
        </w:r>
        <w:r w:rsidRPr="00C04F24">
          <w:rPr>
            <w:rFonts w:ascii="Times New Roman" w:eastAsia="Calibri" w:hAnsi="Times New Roman" w:cs="Times New Roman"/>
            <w:color w:val="0563C1" w:themeColor="hyperlink"/>
            <w:sz w:val="28"/>
            <w:szCs w:val="28"/>
            <w:u w:val="single"/>
            <w:lang w:val="en-US"/>
          </w:rPr>
          <w:t>BB</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1%83%</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0%</w:t>
        </w:r>
        <w:r w:rsidRPr="00C04F24">
          <w:rPr>
            <w:rFonts w:ascii="Times New Roman" w:eastAsia="Calibri" w:hAnsi="Times New Roman" w:cs="Times New Roman"/>
            <w:color w:val="0563C1" w:themeColor="hyperlink"/>
            <w:sz w:val="28"/>
            <w:szCs w:val="28"/>
            <w:u w:val="single"/>
            <w:lang w:val="en-US"/>
          </w:rPr>
          <w:t>B</w:t>
        </w:r>
        <w:r w:rsidRPr="00C04F24">
          <w:rPr>
            <w:rFonts w:ascii="Times New Roman" w:eastAsia="Calibri" w:hAnsi="Times New Roman" w:cs="Times New Roman"/>
            <w:color w:val="0563C1" w:themeColor="hyperlink"/>
            <w:sz w:val="28"/>
            <w:szCs w:val="28"/>
            <w:u w:val="single"/>
          </w:rPr>
          <w:t>6%</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0%</w:t>
        </w:r>
        <w:r w:rsidRPr="00C04F24">
          <w:rPr>
            <w:rFonts w:ascii="Times New Roman" w:eastAsia="Calibri" w:hAnsi="Times New Roman" w:cs="Times New Roman"/>
            <w:color w:val="0563C1" w:themeColor="hyperlink"/>
            <w:sz w:val="28"/>
            <w:szCs w:val="28"/>
            <w:u w:val="single"/>
            <w:lang w:val="en-US"/>
          </w:rPr>
          <w:t>B</w:t>
        </w:r>
        <w:r w:rsidRPr="00C04F24">
          <w:rPr>
            <w:rFonts w:ascii="Times New Roman" w:eastAsia="Calibri" w:hAnsi="Times New Roman" w:cs="Times New Roman"/>
            <w:color w:val="0563C1" w:themeColor="hyperlink"/>
            <w:sz w:val="28"/>
            <w:szCs w:val="28"/>
            <w:u w:val="single"/>
          </w:rPr>
          <w:t>5%</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0%</w:t>
        </w:r>
        <w:r w:rsidRPr="00C04F24">
          <w:rPr>
            <w:rFonts w:ascii="Times New Roman" w:eastAsia="Calibri" w:hAnsi="Times New Roman" w:cs="Times New Roman"/>
            <w:color w:val="0563C1" w:themeColor="hyperlink"/>
            <w:sz w:val="28"/>
            <w:szCs w:val="28"/>
            <w:u w:val="single"/>
            <w:lang w:val="en-US"/>
          </w:rPr>
          <w:t>B</w:t>
        </w:r>
        <w:r w:rsidRPr="00C04F24">
          <w:rPr>
            <w:rFonts w:ascii="Times New Roman" w:eastAsia="Calibri" w:hAnsi="Times New Roman" w:cs="Times New Roman"/>
            <w:color w:val="0563C1" w:themeColor="hyperlink"/>
            <w:sz w:val="28"/>
            <w:szCs w:val="28"/>
            <w:u w:val="single"/>
          </w:rPr>
          <w:t>1%</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0%</w:t>
        </w:r>
        <w:r w:rsidRPr="00C04F24">
          <w:rPr>
            <w:rFonts w:ascii="Times New Roman" w:eastAsia="Calibri" w:hAnsi="Times New Roman" w:cs="Times New Roman"/>
            <w:color w:val="0563C1" w:themeColor="hyperlink"/>
            <w:sz w:val="28"/>
            <w:szCs w:val="28"/>
            <w:u w:val="single"/>
            <w:lang w:val="en-US"/>
          </w:rPr>
          <w:t>BD</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0%</w:t>
        </w:r>
        <w:r w:rsidRPr="00C04F24">
          <w:rPr>
            <w:rFonts w:ascii="Times New Roman" w:eastAsia="Calibri" w:hAnsi="Times New Roman" w:cs="Times New Roman"/>
            <w:color w:val="0563C1" w:themeColor="hyperlink"/>
            <w:sz w:val="28"/>
            <w:szCs w:val="28"/>
            <w:u w:val="single"/>
            <w:lang w:val="en-US"/>
          </w:rPr>
          <w:t>B</w:t>
        </w:r>
        <w:r w:rsidRPr="00C04F24">
          <w:rPr>
            <w:rFonts w:ascii="Times New Roman" w:eastAsia="Calibri" w:hAnsi="Times New Roman" w:cs="Times New Roman"/>
            <w:color w:val="0563C1" w:themeColor="hyperlink"/>
            <w:sz w:val="28"/>
            <w:szCs w:val="28"/>
            <w:u w:val="single"/>
          </w:rPr>
          <w:t>0%</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1%8</w:t>
        </w:r>
        <w:r w:rsidRPr="00C04F24">
          <w:rPr>
            <w:rFonts w:ascii="Times New Roman" w:eastAsia="Calibri" w:hAnsi="Times New Roman" w:cs="Times New Roman"/>
            <w:color w:val="0563C1" w:themeColor="hyperlink"/>
            <w:sz w:val="28"/>
            <w:szCs w:val="28"/>
            <w:u w:val="single"/>
            <w:lang w:val="en-US"/>
          </w:rPr>
          <w:t>F</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DownloadAsPdf</w:t>
        </w:r>
        <w:r w:rsidRPr="00C04F24">
          <w:rPr>
            <w:rFonts w:ascii="Times New Roman" w:eastAsia="Calibri" w:hAnsi="Times New Roman" w:cs="Times New Roman"/>
            <w:color w:val="0563C1" w:themeColor="hyperlink"/>
            <w:sz w:val="28"/>
            <w:szCs w:val="28"/>
            <w:u w:val="single"/>
          </w:rPr>
          <w:t>&amp;</w:t>
        </w:r>
        <w:r w:rsidRPr="00C04F24">
          <w:rPr>
            <w:rFonts w:ascii="Times New Roman" w:eastAsia="Calibri" w:hAnsi="Times New Roman" w:cs="Times New Roman"/>
            <w:color w:val="0563C1" w:themeColor="hyperlink"/>
            <w:sz w:val="28"/>
            <w:szCs w:val="28"/>
            <w:u w:val="single"/>
            <w:lang w:val="en-US"/>
          </w:rPr>
          <w:t>page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0%9</w:t>
        </w:r>
        <w:r w:rsidRPr="00C04F24">
          <w:rPr>
            <w:rFonts w:ascii="Times New Roman" w:eastAsia="Calibri" w:hAnsi="Times New Roman" w:cs="Times New Roman"/>
            <w:color w:val="0563C1" w:themeColor="hyperlink"/>
            <w:sz w:val="28"/>
            <w:szCs w:val="28"/>
            <w:u w:val="single"/>
            <w:lang w:val="en-US"/>
          </w:rPr>
          <w:t>F</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0%</w:t>
        </w:r>
        <w:r w:rsidRPr="00C04F24">
          <w:rPr>
            <w:rFonts w:ascii="Times New Roman" w:eastAsia="Calibri" w:hAnsi="Times New Roman" w:cs="Times New Roman"/>
            <w:color w:val="0563C1" w:themeColor="hyperlink"/>
            <w:sz w:val="28"/>
            <w:szCs w:val="28"/>
            <w:u w:val="single"/>
            <w:lang w:val="en-US"/>
          </w:rPr>
          <w:t>B</w:t>
        </w:r>
        <w:r w:rsidRPr="00C04F24">
          <w:rPr>
            <w:rFonts w:ascii="Times New Roman" w:eastAsia="Calibri" w:hAnsi="Times New Roman" w:cs="Times New Roman"/>
            <w:color w:val="0563C1" w:themeColor="hyperlink"/>
            <w:sz w:val="28"/>
            <w:szCs w:val="28"/>
            <w:u w:val="single"/>
          </w:rPr>
          <w:t>0%</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0%</w:t>
        </w:r>
        <w:r w:rsidRPr="00C04F24">
          <w:rPr>
            <w:rFonts w:ascii="Times New Roman" w:eastAsia="Calibri" w:hAnsi="Times New Roman" w:cs="Times New Roman"/>
            <w:color w:val="0563C1" w:themeColor="hyperlink"/>
            <w:sz w:val="28"/>
            <w:szCs w:val="28"/>
            <w:u w:val="single"/>
            <w:lang w:val="en-US"/>
          </w:rPr>
          <w:t>BD</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0%</w:t>
        </w:r>
        <w:r w:rsidRPr="00C04F24">
          <w:rPr>
            <w:rFonts w:ascii="Times New Roman" w:eastAsia="Calibri" w:hAnsi="Times New Roman" w:cs="Times New Roman"/>
            <w:color w:val="0563C1" w:themeColor="hyperlink"/>
            <w:sz w:val="28"/>
            <w:szCs w:val="28"/>
            <w:u w:val="single"/>
            <w:lang w:val="en-US"/>
          </w:rPr>
          <w:t>B</w:t>
        </w:r>
        <w:r w:rsidRPr="00C04F24">
          <w:rPr>
            <w:rFonts w:ascii="Times New Roman" w:eastAsia="Calibri" w:hAnsi="Times New Roman" w:cs="Times New Roman"/>
            <w:color w:val="0563C1" w:themeColor="hyperlink"/>
            <w:sz w:val="28"/>
            <w:szCs w:val="28"/>
            <w:u w:val="single"/>
          </w:rPr>
          <w:t>4%</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0%</w:t>
        </w:r>
        <w:r w:rsidRPr="00C04F24">
          <w:rPr>
            <w:rFonts w:ascii="Times New Roman" w:eastAsia="Calibri" w:hAnsi="Times New Roman" w:cs="Times New Roman"/>
            <w:color w:val="0563C1" w:themeColor="hyperlink"/>
            <w:sz w:val="28"/>
            <w:szCs w:val="28"/>
            <w:u w:val="single"/>
            <w:lang w:val="en-US"/>
          </w:rPr>
          <w:t>B</w:t>
        </w:r>
        <w:r w:rsidRPr="00C04F24">
          <w:rPr>
            <w:rFonts w:ascii="Times New Roman" w:eastAsia="Calibri" w:hAnsi="Times New Roman" w:cs="Times New Roman"/>
            <w:color w:val="0563C1" w:themeColor="hyperlink"/>
            <w:sz w:val="28"/>
            <w:szCs w:val="28"/>
            <w:u w:val="single"/>
          </w:rPr>
          <w:t>5%</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0%</w:t>
        </w:r>
        <w:r w:rsidRPr="00C04F24">
          <w:rPr>
            <w:rFonts w:ascii="Times New Roman" w:eastAsia="Calibri" w:hAnsi="Times New Roman" w:cs="Times New Roman"/>
            <w:color w:val="0563C1" w:themeColor="hyperlink"/>
            <w:sz w:val="28"/>
            <w:szCs w:val="28"/>
            <w:u w:val="single"/>
            <w:lang w:val="en-US"/>
          </w:rPr>
          <w:t>BC</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0%</w:t>
        </w:r>
        <w:r w:rsidRPr="00C04F24">
          <w:rPr>
            <w:rFonts w:ascii="Times New Roman" w:eastAsia="Calibri" w:hAnsi="Times New Roman" w:cs="Times New Roman"/>
            <w:color w:val="0563C1" w:themeColor="hyperlink"/>
            <w:sz w:val="28"/>
            <w:szCs w:val="28"/>
            <w:u w:val="single"/>
            <w:lang w:val="en-US"/>
          </w:rPr>
          <w:t>B</w:t>
        </w:r>
        <w:r w:rsidRPr="00C04F24">
          <w:rPr>
            <w:rFonts w:ascii="Times New Roman" w:eastAsia="Calibri" w:hAnsi="Times New Roman" w:cs="Times New Roman"/>
            <w:color w:val="0563C1" w:themeColor="hyperlink"/>
            <w:sz w:val="28"/>
            <w:szCs w:val="28"/>
            <w:u w:val="single"/>
          </w:rPr>
          <w:t>8%</w:t>
        </w:r>
        <w:r w:rsidRPr="00C04F24">
          <w:rPr>
            <w:rFonts w:ascii="Times New Roman" w:eastAsia="Calibri" w:hAnsi="Times New Roman" w:cs="Times New Roman"/>
            <w:color w:val="0563C1" w:themeColor="hyperlink"/>
            <w:sz w:val="28"/>
            <w:szCs w:val="28"/>
            <w:u w:val="single"/>
            <w:lang w:val="en-US"/>
          </w:rPr>
          <w:t>D</w:t>
        </w:r>
        <w:r w:rsidRPr="00C04F24">
          <w:rPr>
            <w:rFonts w:ascii="Times New Roman" w:eastAsia="Calibri" w:hAnsi="Times New Roman" w:cs="Times New Roman"/>
            <w:color w:val="0563C1" w:themeColor="hyperlink"/>
            <w:sz w:val="28"/>
            <w:szCs w:val="28"/>
            <w:u w:val="single"/>
          </w:rPr>
          <w:t>1%8</w:t>
        </w:r>
        <w:r w:rsidRPr="00C04F24">
          <w:rPr>
            <w:rFonts w:ascii="Times New Roman" w:eastAsia="Calibri" w:hAnsi="Times New Roman" w:cs="Times New Roman"/>
            <w:color w:val="0563C1" w:themeColor="hyperlink"/>
            <w:sz w:val="28"/>
            <w:szCs w:val="28"/>
            <w:u w:val="single"/>
            <w:lang w:val="en-US"/>
          </w:rPr>
          <w:t>F</w:t>
        </w:r>
        <w:r w:rsidRPr="00C04F24">
          <w:rPr>
            <w:rFonts w:ascii="Times New Roman" w:eastAsia="Calibri" w:hAnsi="Times New Roman" w:cs="Times New Roman"/>
            <w:color w:val="0563C1" w:themeColor="hyperlink"/>
            <w:sz w:val="28"/>
            <w:szCs w:val="28"/>
            <w:u w:val="single"/>
          </w:rPr>
          <w:t>_</w:t>
        </w:r>
        <w:r w:rsidRPr="00C04F24">
          <w:rPr>
            <w:rFonts w:ascii="Times New Roman" w:eastAsia="Calibri" w:hAnsi="Times New Roman" w:cs="Times New Roman"/>
            <w:color w:val="0563C1" w:themeColor="hyperlink"/>
            <w:sz w:val="28"/>
            <w:szCs w:val="28"/>
            <w:u w:val="single"/>
            <w:lang w:val="en-US"/>
          </w:rPr>
          <w:t>COVID</w:t>
        </w:r>
        <w:r w:rsidRPr="00C04F24">
          <w:rPr>
            <w:rFonts w:ascii="Times New Roman" w:eastAsia="Calibri" w:hAnsi="Times New Roman" w:cs="Times New Roman"/>
            <w:color w:val="0563C1" w:themeColor="hyperlink"/>
            <w:sz w:val="28"/>
            <w:szCs w:val="28"/>
            <w:u w:val="single"/>
          </w:rPr>
          <w:t>-19&amp;</w:t>
        </w:r>
        <w:r w:rsidRPr="00C04F24">
          <w:rPr>
            <w:rFonts w:ascii="Times New Roman" w:eastAsia="Calibri" w:hAnsi="Times New Roman" w:cs="Times New Roman"/>
            <w:color w:val="0563C1" w:themeColor="hyperlink"/>
            <w:sz w:val="28"/>
            <w:szCs w:val="28"/>
            <w:u w:val="single"/>
            <w:lang w:val="en-US"/>
          </w:rPr>
          <w:t>action</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show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download</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screen</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Home - Ministry of Health and Family Welfare - GOI (англ.). </w:t>
      </w:r>
      <w:r w:rsidRPr="00C04F24">
        <w:rPr>
          <w:rFonts w:ascii="Times New Roman" w:eastAsia="Calibri" w:hAnsi="Times New Roman" w:cs="Times New Roman"/>
          <w:sz w:val="28"/>
          <w:szCs w:val="28"/>
        </w:rPr>
        <w:t xml:space="preserve">[Электронный ресурс]. – Режим доступа: </w:t>
      </w:r>
      <w:r w:rsidRPr="00C04F24">
        <w:rPr>
          <w:rFonts w:ascii="Times New Roman" w:eastAsia="Calibri" w:hAnsi="Times New Roman" w:cs="Times New Roman"/>
          <w:sz w:val="28"/>
          <w:szCs w:val="28"/>
          <w:lang w:val="en-US"/>
        </w:rPr>
        <w:t>mohfw</w:t>
      </w:r>
      <w:r w:rsidRPr="00C04F24">
        <w:rPr>
          <w:rFonts w:ascii="Times New Roman" w:eastAsia="Calibri" w:hAnsi="Times New Roman" w:cs="Times New Roman"/>
          <w:sz w:val="28"/>
          <w:szCs w:val="28"/>
        </w:rPr>
        <w:t>.</w:t>
      </w:r>
      <w:r w:rsidRPr="00C04F24">
        <w:rPr>
          <w:rFonts w:ascii="Times New Roman" w:eastAsia="Calibri" w:hAnsi="Times New Roman" w:cs="Times New Roman"/>
          <w:sz w:val="28"/>
          <w:szCs w:val="28"/>
          <w:lang w:val="en-US"/>
        </w:rPr>
        <w:t>gov</w:t>
      </w:r>
      <w:r w:rsidRPr="00C04F24">
        <w:rPr>
          <w:rFonts w:ascii="Times New Roman" w:eastAsia="Calibri" w:hAnsi="Times New Roman" w:cs="Times New Roman"/>
          <w:sz w:val="28"/>
          <w:szCs w:val="28"/>
        </w:rPr>
        <w:t>.</w:t>
      </w:r>
      <w:r w:rsidRPr="00C04F24">
        <w:rPr>
          <w:rFonts w:ascii="Times New Roman" w:eastAsia="Calibri" w:hAnsi="Times New Roman" w:cs="Times New Roman"/>
          <w:sz w:val="28"/>
          <w:szCs w:val="28"/>
          <w:lang w:val="en-US"/>
        </w:rPr>
        <w:t>in</w:t>
      </w:r>
      <w:r w:rsidRPr="00C04F24">
        <w:rPr>
          <w:rFonts w:ascii="Times New Roman" w:eastAsia="Calibri" w:hAnsi="Times New Roman" w:cs="Times New Roman"/>
          <w:sz w:val="28"/>
          <w:szCs w:val="28"/>
        </w:rPr>
        <w:t>. – Загл.с экрана. Дата обращения: 28 марта 2020.</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Gouvernement. COVID-19 en France. (</w:t>
      </w:r>
      <w:r w:rsidRPr="00C04F24">
        <w:rPr>
          <w:rFonts w:ascii="Times New Roman" w:eastAsia="Calibri" w:hAnsi="Times New Roman" w:cs="Times New Roman"/>
          <w:sz w:val="28"/>
          <w:szCs w:val="28"/>
        </w:rPr>
        <w:t>фр</w:t>
      </w:r>
      <w:r w:rsidRPr="00C04F24">
        <w:rPr>
          <w:rFonts w:ascii="Times New Roman" w:eastAsia="Calibri" w:hAnsi="Times New Roman" w:cs="Times New Roman"/>
          <w:sz w:val="28"/>
          <w:szCs w:val="28"/>
          <w:lang w:val="en-US"/>
        </w:rPr>
        <w:t xml:space="preserve">.). Gouvernement. </w:t>
      </w:r>
      <w:r w:rsidRPr="00C04F24">
        <w:rPr>
          <w:rFonts w:ascii="Times New Roman" w:eastAsia="Calibri" w:hAnsi="Times New Roman" w:cs="Times New Roman"/>
          <w:sz w:val="28"/>
          <w:szCs w:val="28"/>
        </w:rPr>
        <w:t xml:space="preserve">[Электронный ресурс]. – Режим доступа: </w:t>
      </w:r>
      <w:hyperlink r:id="rId43" w:anchor=":~:text=Ventiler%20ou%20a%C3%A9rer%20les%20locaux,l'ensemble%20des%20mesures%20pr%C3%A9cit%C3%A9es.19"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info</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gouv</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fr</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alerte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covid</w:t>
        </w:r>
        <w:r w:rsidRPr="00C04F24">
          <w:rPr>
            <w:rFonts w:ascii="Times New Roman" w:eastAsia="Calibri" w:hAnsi="Times New Roman" w:cs="Times New Roman"/>
            <w:color w:val="0563C1" w:themeColor="hyperlink"/>
            <w:sz w:val="28"/>
            <w:szCs w:val="28"/>
            <w:u w:val="single"/>
          </w:rPr>
          <w:t>19#:~:</w:t>
        </w:r>
        <w:r w:rsidRPr="00C04F24">
          <w:rPr>
            <w:rFonts w:ascii="Times New Roman" w:eastAsia="Calibri" w:hAnsi="Times New Roman" w:cs="Times New Roman"/>
            <w:color w:val="0563C1" w:themeColor="hyperlink"/>
            <w:sz w:val="28"/>
            <w:szCs w:val="28"/>
            <w:u w:val="single"/>
            <w:lang w:val="en-US"/>
          </w:rPr>
          <w:t>text</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Ventiler</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ou</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a</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w:t>
        </w:r>
        <w:r w:rsidRPr="00C04F24">
          <w:rPr>
            <w:rFonts w:ascii="Times New Roman" w:eastAsia="Calibri" w:hAnsi="Times New Roman" w:cs="Times New Roman"/>
            <w:color w:val="0563C1" w:themeColor="hyperlink"/>
            <w:sz w:val="28"/>
            <w:szCs w:val="28"/>
            <w:u w:val="single"/>
          </w:rPr>
          <w:t>3%</w:t>
        </w:r>
        <w:r w:rsidRPr="00C04F24">
          <w:rPr>
            <w:rFonts w:ascii="Times New Roman" w:eastAsia="Calibri" w:hAnsi="Times New Roman" w:cs="Times New Roman"/>
            <w:color w:val="0563C1" w:themeColor="hyperlink"/>
            <w:sz w:val="28"/>
            <w:szCs w:val="28"/>
            <w:u w:val="single"/>
            <w:lang w:val="en-US"/>
          </w:rPr>
          <w:t>A</w:t>
        </w:r>
        <w:r w:rsidRPr="00C04F24">
          <w:rPr>
            <w:rFonts w:ascii="Times New Roman" w:eastAsia="Calibri" w:hAnsi="Times New Roman" w:cs="Times New Roman"/>
            <w:color w:val="0563C1" w:themeColor="hyperlink"/>
            <w:sz w:val="28"/>
            <w:szCs w:val="28"/>
            <w:u w:val="single"/>
          </w:rPr>
          <w:t>9</w:t>
        </w:r>
        <w:r w:rsidRPr="00C04F24">
          <w:rPr>
            <w:rFonts w:ascii="Times New Roman" w:eastAsia="Calibri" w:hAnsi="Times New Roman" w:cs="Times New Roman"/>
            <w:color w:val="0563C1" w:themeColor="hyperlink"/>
            <w:sz w:val="28"/>
            <w:szCs w:val="28"/>
            <w:u w:val="single"/>
            <w:lang w:val="en-US"/>
          </w:rPr>
          <w:t>rer</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les</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locaux</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l</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ensemble</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des</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mesures</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pr</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w:t>
        </w:r>
        <w:r w:rsidRPr="00C04F24">
          <w:rPr>
            <w:rFonts w:ascii="Times New Roman" w:eastAsia="Calibri" w:hAnsi="Times New Roman" w:cs="Times New Roman"/>
            <w:color w:val="0563C1" w:themeColor="hyperlink"/>
            <w:sz w:val="28"/>
            <w:szCs w:val="28"/>
            <w:u w:val="single"/>
          </w:rPr>
          <w:t>3%</w:t>
        </w:r>
        <w:r w:rsidRPr="00C04F24">
          <w:rPr>
            <w:rFonts w:ascii="Times New Roman" w:eastAsia="Calibri" w:hAnsi="Times New Roman" w:cs="Times New Roman"/>
            <w:color w:val="0563C1" w:themeColor="hyperlink"/>
            <w:sz w:val="28"/>
            <w:szCs w:val="28"/>
            <w:u w:val="single"/>
            <w:lang w:val="en-US"/>
          </w:rPr>
          <w:t>A</w:t>
        </w:r>
        <w:r w:rsidRPr="00C04F24">
          <w:rPr>
            <w:rFonts w:ascii="Times New Roman" w:eastAsia="Calibri" w:hAnsi="Times New Roman" w:cs="Times New Roman"/>
            <w:color w:val="0563C1" w:themeColor="hyperlink"/>
            <w:sz w:val="28"/>
            <w:szCs w:val="28"/>
            <w:u w:val="single"/>
          </w:rPr>
          <w:t>9</w:t>
        </w:r>
        <w:r w:rsidRPr="00C04F24">
          <w:rPr>
            <w:rFonts w:ascii="Times New Roman" w:eastAsia="Calibri" w:hAnsi="Times New Roman" w:cs="Times New Roman"/>
            <w:color w:val="0563C1" w:themeColor="hyperlink"/>
            <w:sz w:val="28"/>
            <w:szCs w:val="28"/>
            <w:u w:val="single"/>
            <w:lang w:val="en-US"/>
          </w:rPr>
          <w:t>cit</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w:t>
        </w:r>
        <w:r w:rsidRPr="00C04F24">
          <w:rPr>
            <w:rFonts w:ascii="Times New Roman" w:eastAsia="Calibri" w:hAnsi="Times New Roman" w:cs="Times New Roman"/>
            <w:color w:val="0563C1" w:themeColor="hyperlink"/>
            <w:sz w:val="28"/>
            <w:szCs w:val="28"/>
            <w:u w:val="single"/>
          </w:rPr>
          <w:t>3%</w:t>
        </w:r>
        <w:r w:rsidRPr="00C04F24">
          <w:rPr>
            <w:rFonts w:ascii="Times New Roman" w:eastAsia="Calibri" w:hAnsi="Times New Roman" w:cs="Times New Roman"/>
            <w:color w:val="0563C1" w:themeColor="hyperlink"/>
            <w:sz w:val="28"/>
            <w:szCs w:val="28"/>
            <w:u w:val="single"/>
            <w:lang w:val="en-US"/>
          </w:rPr>
          <w:t>A</w:t>
        </w:r>
        <w:r w:rsidRPr="00C04F24">
          <w:rPr>
            <w:rFonts w:ascii="Times New Roman" w:eastAsia="Calibri" w:hAnsi="Times New Roman" w:cs="Times New Roman"/>
            <w:color w:val="0563C1" w:themeColor="hyperlink"/>
            <w:sz w:val="28"/>
            <w:szCs w:val="28"/>
            <w:u w:val="single"/>
          </w:rPr>
          <w:t>9</w:t>
        </w:r>
        <w:r w:rsidRPr="00C04F24">
          <w:rPr>
            <w:rFonts w:ascii="Times New Roman" w:eastAsia="Calibri" w:hAnsi="Times New Roman" w:cs="Times New Roman"/>
            <w:color w:val="0563C1" w:themeColor="hyperlink"/>
            <w:sz w:val="28"/>
            <w:szCs w:val="28"/>
            <w:u w:val="single"/>
            <w:lang w:val="en-US"/>
          </w:rPr>
          <w:t>es</w:t>
        </w:r>
        <w:r w:rsidRPr="00C04F24">
          <w:rPr>
            <w:rFonts w:ascii="Times New Roman" w:eastAsia="Calibri" w:hAnsi="Times New Roman" w:cs="Times New Roman"/>
            <w:color w:val="0563C1" w:themeColor="hyperlink"/>
            <w:sz w:val="28"/>
            <w:szCs w:val="28"/>
            <w:u w:val="single"/>
          </w:rPr>
          <w:t>.19#:~:</w:t>
        </w:r>
        <w:r w:rsidRPr="00C04F24">
          <w:rPr>
            <w:rFonts w:ascii="Times New Roman" w:eastAsia="Calibri" w:hAnsi="Times New Roman" w:cs="Times New Roman"/>
            <w:color w:val="0563C1" w:themeColor="hyperlink"/>
            <w:sz w:val="28"/>
            <w:szCs w:val="28"/>
            <w:u w:val="single"/>
            <w:lang w:val="en-US"/>
          </w:rPr>
          <w:t>text</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Ventiler</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ou</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a</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w:t>
        </w:r>
        <w:r w:rsidRPr="00C04F24">
          <w:rPr>
            <w:rFonts w:ascii="Times New Roman" w:eastAsia="Calibri" w:hAnsi="Times New Roman" w:cs="Times New Roman"/>
            <w:color w:val="0563C1" w:themeColor="hyperlink"/>
            <w:sz w:val="28"/>
            <w:szCs w:val="28"/>
            <w:u w:val="single"/>
          </w:rPr>
          <w:t>3%</w:t>
        </w:r>
        <w:r w:rsidRPr="00C04F24">
          <w:rPr>
            <w:rFonts w:ascii="Times New Roman" w:eastAsia="Calibri" w:hAnsi="Times New Roman" w:cs="Times New Roman"/>
            <w:color w:val="0563C1" w:themeColor="hyperlink"/>
            <w:sz w:val="28"/>
            <w:szCs w:val="28"/>
            <w:u w:val="single"/>
            <w:lang w:val="en-US"/>
          </w:rPr>
          <w:t>A</w:t>
        </w:r>
        <w:r w:rsidRPr="00C04F24">
          <w:rPr>
            <w:rFonts w:ascii="Times New Roman" w:eastAsia="Calibri" w:hAnsi="Times New Roman" w:cs="Times New Roman"/>
            <w:color w:val="0563C1" w:themeColor="hyperlink"/>
            <w:sz w:val="28"/>
            <w:szCs w:val="28"/>
            <w:u w:val="single"/>
          </w:rPr>
          <w:t>9</w:t>
        </w:r>
        <w:r w:rsidRPr="00C04F24">
          <w:rPr>
            <w:rFonts w:ascii="Times New Roman" w:eastAsia="Calibri" w:hAnsi="Times New Roman" w:cs="Times New Roman"/>
            <w:color w:val="0563C1" w:themeColor="hyperlink"/>
            <w:sz w:val="28"/>
            <w:szCs w:val="28"/>
            <w:u w:val="single"/>
            <w:lang w:val="en-US"/>
          </w:rPr>
          <w:t>rer</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les</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locaux</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l</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ensemble</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des</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mesures</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pr</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w:t>
        </w:r>
        <w:r w:rsidRPr="00C04F24">
          <w:rPr>
            <w:rFonts w:ascii="Times New Roman" w:eastAsia="Calibri" w:hAnsi="Times New Roman" w:cs="Times New Roman"/>
            <w:color w:val="0563C1" w:themeColor="hyperlink"/>
            <w:sz w:val="28"/>
            <w:szCs w:val="28"/>
            <w:u w:val="single"/>
          </w:rPr>
          <w:t>3%</w:t>
        </w:r>
        <w:r w:rsidRPr="00C04F24">
          <w:rPr>
            <w:rFonts w:ascii="Times New Roman" w:eastAsia="Calibri" w:hAnsi="Times New Roman" w:cs="Times New Roman"/>
            <w:color w:val="0563C1" w:themeColor="hyperlink"/>
            <w:sz w:val="28"/>
            <w:szCs w:val="28"/>
            <w:u w:val="single"/>
            <w:lang w:val="en-US"/>
          </w:rPr>
          <w:t>A</w:t>
        </w:r>
        <w:r w:rsidRPr="00C04F24">
          <w:rPr>
            <w:rFonts w:ascii="Times New Roman" w:eastAsia="Calibri" w:hAnsi="Times New Roman" w:cs="Times New Roman"/>
            <w:color w:val="0563C1" w:themeColor="hyperlink"/>
            <w:sz w:val="28"/>
            <w:szCs w:val="28"/>
            <w:u w:val="single"/>
          </w:rPr>
          <w:t>9</w:t>
        </w:r>
        <w:r w:rsidRPr="00C04F24">
          <w:rPr>
            <w:rFonts w:ascii="Times New Roman" w:eastAsia="Calibri" w:hAnsi="Times New Roman" w:cs="Times New Roman"/>
            <w:color w:val="0563C1" w:themeColor="hyperlink"/>
            <w:sz w:val="28"/>
            <w:szCs w:val="28"/>
            <w:u w:val="single"/>
            <w:lang w:val="en-US"/>
          </w:rPr>
          <w:t>cit</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w:t>
        </w:r>
        <w:r w:rsidRPr="00C04F24">
          <w:rPr>
            <w:rFonts w:ascii="Times New Roman" w:eastAsia="Calibri" w:hAnsi="Times New Roman" w:cs="Times New Roman"/>
            <w:color w:val="0563C1" w:themeColor="hyperlink"/>
            <w:sz w:val="28"/>
            <w:szCs w:val="28"/>
            <w:u w:val="single"/>
          </w:rPr>
          <w:t>3%</w:t>
        </w:r>
        <w:r w:rsidRPr="00C04F24">
          <w:rPr>
            <w:rFonts w:ascii="Times New Roman" w:eastAsia="Calibri" w:hAnsi="Times New Roman" w:cs="Times New Roman"/>
            <w:color w:val="0563C1" w:themeColor="hyperlink"/>
            <w:sz w:val="28"/>
            <w:szCs w:val="28"/>
            <w:u w:val="single"/>
            <w:lang w:val="en-US"/>
          </w:rPr>
          <w:t>A</w:t>
        </w:r>
        <w:r w:rsidRPr="00C04F24">
          <w:rPr>
            <w:rFonts w:ascii="Times New Roman" w:eastAsia="Calibri" w:hAnsi="Times New Roman" w:cs="Times New Roman"/>
            <w:color w:val="0563C1" w:themeColor="hyperlink"/>
            <w:sz w:val="28"/>
            <w:szCs w:val="28"/>
            <w:u w:val="single"/>
          </w:rPr>
          <w:t>9</w:t>
        </w:r>
        <w:r w:rsidRPr="00C04F24">
          <w:rPr>
            <w:rFonts w:ascii="Times New Roman" w:eastAsia="Calibri" w:hAnsi="Times New Roman" w:cs="Times New Roman"/>
            <w:color w:val="0563C1" w:themeColor="hyperlink"/>
            <w:sz w:val="28"/>
            <w:szCs w:val="28"/>
            <w:u w:val="single"/>
            <w:lang w:val="en-US"/>
          </w:rPr>
          <w:t>es</w:t>
        </w:r>
      </w:hyperlink>
      <w:r w:rsidRPr="00C04F24">
        <w:rPr>
          <w:rFonts w:ascii="Times New Roman" w:eastAsia="Calibri" w:hAnsi="Times New Roman" w:cs="Times New Roman"/>
          <w:sz w:val="28"/>
          <w:szCs w:val="28"/>
        </w:rPr>
        <w:t xml:space="preserve"> .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rPr>
        <w:t>Не включены данные Новой Каледонии, Французской Полинезии и Сен-Пьера и Микелона.</w:t>
      </w:r>
      <w:r w:rsidRPr="00C04F24">
        <w:rPr>
          <w:rFonts w:ascii="Calibri" w:eastAsia="Calibri" w:hAnsi="Calibri" w:cs="Times New Roman"/>
        </w:rPr>
        <w:t xml:space="preserve"> </w:t>
      </w:r>
      <w:r w:rsidRPr="00C04F24">
        <w:rPr>
          <w:rFonts w:ascii="Times New Roman" w:eastAsia="Calibri" w:hAnsi="Times New Roman" w:cs="Times New Roman"/>
          <w:sz w:val="28"/>
          <w:szCs w:val="28"/>
        </w:rPr>
        <w:t xml:space="preserve">[Электронный ресурс]. – Режим доступа: </w:t>
      </w:r>
      <w:hyperlink r:id="rId44" w:history="1">
        <w:r w:rsidRPr="00C04F24">
          <w:rPr>
            <w:rFonts w:ascii="Times New Roman" w:eastAsia="Calibri" w:hAnsi="Times New Roman" w:cs="Times New Roman"/>
            <w:color w:val="0563C1" w:themeColor="hyperlink"/>
            <w:sz w:val="28"/>
            <w:szCs w:val="28"/>
            <w:u w:val="single"/>
          </w:rPr>
          <w:t>https://cyberleninka.ru/article/n/problemy-kvalifikatsii-i-razgranicheniya-politicheskih-i-administrativnyh-avtonomiy-opyt-frantsuzskih-territoriy</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lastRenderedPageBreak/>
        <w:t>COVID-19: Fallzahlen in Deutschland und weltweit (</w:t>
      </w:r>
      <w:r w:rsidRPr="00C04F24">
        <w:rPr>
          <w:rFonts w:ascii="Times New Roman" w:eastAsia="Calibri" w:hAnsi="Times New Roman" w:cs="Times New Roman"/>
          <w:sz w:val="28"/>
          <w:szCs w:val="28"/>
        </w:rPr>
        <w:t>нем</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 xml:space="preserve">Институт Роберта Коха. [Электронный ресурс]. – Режим доступа: </w:t>
      </w:r>
      <w:r w:rsidRPr="00C04F24">
        <w:rPr>
          <w:rFonts w:ascii="Calibri" w:eastAsia="Calibri" w:hAnsi="Calibri" w:cs="Times New Roman"/>
        </w:rPr>
        <w:t xml:space="preserve"> </w:t>
      </w:r>
      <w:hyperlink r:id="rId45" w:history="1">
        <w:r w:rsidRPr="00C04F24">
          <w:rPr>
            <w:rFonts w:ascii="Times New Roman" w:eastAsia="Calibri" w:hAnsi="Times New Roman" w:cs="Times New Roman"/>
            <w:color w:val="0563C1" w:themeColor="hyperlink"/>
            <w:sz w:val="28"/>
            <w:szCs w:val="28"/>
            <w:u w:val="single"/>
          </w:rPr>
          <w:t>https://www.rki.de/DE/Content/InfAZ/N/Neuartiges_Coronavirus/Gestiegene_Fallzahlen.html</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Casos de coronavírus e número de mortes no Brasil em 13 de maio (</w:t>
      </w:r>
      <w:r w:rsidRPr="00C04F24">
        <w:rPr>
          <w:rFonts w:ascii="Times New Roman" w:eastAsia="Calibri" w:hAnsi="Times New Roman" w:cs="Times New Roman"/>
          <w:sz w:val="28"/>
          <w:szCs w:val="28"/>
        </w:rPr>
        <w:t>порт</w:t>
      </w:r>
      <w:r w:rsidRPr="00C04F24">
        <w:rPr>
          <w:rFonts w:ascii="Times New Roman" w:eastAsia="Calibri" w:hAnsi="Times New Roman" w:cs="Times New Roman"/>
          <w:sz w:val="28"/>
          <w:szCs w:val="28"/>
          <w:lang w:val="en-US"/>
        </w:rPr>
        <w:t xml:space="preserve">.), Globo G1 (14 maio 2020). </w:t>
      </w:r>
      <w:r w:rsidRPr="00C04F24">
        <w:rPr>
          <w:rFonts w:ascii="Times New Roman" w:eastAsia="Calibri" w:hAnsi="Times New Roman" w:cs="Times New Roman"/>
          <w:sz w:val="28"/>
          <w:szCs w:val="28"/>
        </w:rPr>
        <w:t xml:space="preserve">[Электронный ресурс]. – Режим доступа: </w:t>
      </w:r>
      <w:hyperlink r:id="rId46" w:history="1">
        <w:r w:rsidRPr="00C04F24">
          <w:rPr>
            <w:rFonts w:ascii="Times New Roman" w:eastAsia="Calibri" w:hAnsi="Times New Roman" w:cs="Times New Roman"/>
            <w:color w:val="0563C1" w:themeColor="hyperlink"/>
            <w:sz w:val="28"/>
            <w:szCs w:val="28"/>
            <w:u w:val="single"/>
          </w:rPr>
          <w:t>https://g1.globo.com/bemestar/coronavirus/noticia/2020/05/13/casos-de-coronavirus-e-numero-de-mortes-no-brasil-em-13-de-maio.ghtml</w:t>
        </w:r>
      </w:hyperlink>
      <w:r w:rsidRPr="00C04F24">
        <w:rPr>
          <w:rFonts w:ascii="Times New Roman" w:eastAsia="Calibri" w:hAnsi="Times New Roman" w:cs="Times New Roman"/>
          <w:sz w:val="28"/>
          <w:szCs w:val="28"/>
        </w:rPr>
        <w:t>. – Загл.с экрана. Дата обращения: 14 мая 2020.</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rPr>
        <w:t xml:space="preserve"> </w:t>
      </w:r>
      <w:r w:rsidRPr="00C04F24">
        <w:rPr>
          <w:rFonts w:ascii="Times New Roman" w:eastAsia="Calibri" w:hAnsi="Times New Roman" w:cs="Times New Roman"/>
          <w:sz w:val="28"/>
          <w:szCs w:val="28"/>
          <w:lang w:val="en-US"/>
        </w:rPr>
        <w:t>KCDC</w:t>
      </w:r>
      <w:r w:rsidRPr="00C04F24">
        <w:rPr>
          <w:rFonts w:ascii="Times New Roman" w:eastAsia="Calibri" w:hAnsi="Times New Roman" w:cs="Times New Roman"/>
          <w:sz w:val="28"/>
          <w:szCs w:val="28"/>
        </w:rPr>
        <w:t xml:space="preserve"> </w:t>
      </w:r>
      <w:r w:rsidRPr="00C04F24">
        <w:rPr>
          <w:rFonts w:ascii="Times New Roman" w:eastAsia="Calibri" w:hAnsi="Times New Roman" w:cs="Times New Roman"/>
          <w:sz w:val="28"/>
          <w:szCs w:val="28"/>
          <w:lang w:val="en-US"/>
        </w:rPr>
        <w:t>Press</w:t>
      </w:r>
      <w:r w:rsidRPr="00C04F24">
        <w:rPr>
          <w:rFonts w:ascii="Times New Roman" w:eastAsia="Calibri" w:hAnsi="Times New Roman" w:cs="Times New Roman"/>
          <w:sz w:val="28"/>
          <w:szCs w:val="28"/>
        </w:rPr>
        <w:t xml:space="preserve"> </w:t>
      </w:r>
      <w:r w:rsidRPr="00C04F24">
        <w:rPr>
          <w:rFonts w:ascii="Times New Roman" w:eastAsia="Calibri" w:hAnsi="Times New Roman" w:cs="Times New Roman"/>
          <w:sz w:val="28"/>
          <w:szCs w:val="28"/>
          <w:lang w:val="en-US"/>
        </w:rPr>
        <w:t>release</w:t>
      </w:r>
      <w:r w:rsidRPr="00C04F24">
        <w:rPr>
          <w:rFonts w:ascii="Times New Roman" w:eastAsia="Calibri" w:hAnsi="Times New Roman" w:cs="Times New Roman"/>
          <w:sz w:val="28"/>
          <w:szCs w:val="28"/>
        </w:rPr>
        <w:t xml:space="preserve"> (кор.). [Электронный ресурс]. – Режим доступа: </w:t>
      </w:r>
      <w:hyperlink r:id="rId47" w:history="1">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cdc</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go</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kr</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MS Gothic" w:hAnsi="Times New Roman" w:cs="Times New Roman" w:hint="eastAsia"/>
          <w:sz w:val="28"/>
          <w:szCs w:val="28"/>
          <w:lang w:val="en-US"/>
        </w:rPr>
        <w:t>新型コロナウイルスに関連した患者等の発生について</w:t>
      </w:r>
      <w:r w:rsidRPr="00C04F24">
        <w:rPr>
          <w:rFonts w:ascii="Times New Roman" w:eastAsia="Calibri" w:hAnsi="Times New Roman" w:cs="Times New Roman"/>
          <w:sz w:val="28"/>
          <w:szCs w:val="28"/>
        </w:rPr>
        <w:t>(3</w:t>
      </w:r>
      <w:r w:rsidRPr="00C04F24">
        <w:rPr>
          <w:rFonts w:ascii="Times New Roman" w:eastAsia="MS Gothic" w:hAnsi="Times New Roman" w:cs="Times New Roman" w:hint="eastAsia"/>
          <w:sz w:val="28"/>
          <w:szCs w:val="28"/>
          <w:lang w:val="en-US"/>
        </w:rPr>
        <w:t>月</w:t>
      </w:r>
      <w:r w:rsidRPr="00C04F24">
        <w:rPr>
          <w:rFonts w:ascii="Times New Roman" w:eastAsia="Calibri" w:hAnsi="Times New Roman" w:cs="Times New Roman"/>
          <w:sz w:val="28"/>
          <w:szCs w:val="28"/>
        </w:rPr>
        <w:t>27</w:t>
      </w:r>
      <w:r w:rsidRPr="00C04F24">
        <w:rPr>
          <w:rFonts w:ascii="Times New Roman" w:eastAsia="MS Gothic" w:hAnsi="Times New Roman" w:cs="Times New Roman" w:hint="eastAsia"/>
          <w:sz w:val="28"/>
          <w:szCs w:val="28"/>
          <w:lang w:val="en-US"/>
        </w:rPr>
        <w:t>日公表分</w:t>
      </w:r>
      <w:r w:rsidRPr="00C04F24">
        <w:rPr>
          <w:rFonts w:ascii="Times New Roman" w:eastAsia="Calibri" w:hAnsi="Times New Roman" w:cs="Times New Roman"/>
          <w:sz w:val="28"/>
          <w:szCs w:val="28"/>
        </w:rPr>
        <w:t xml:space="preserve">(яп.). </w:t>
      </w:r>
      <w:r w:rsidRPr="00C04F24">
        <w:rPr>
          <w:rFonts w:ascii="Times New Roman" w:eastAsia="Calibri" w:hAnsi="Times New Roman" w:cs="Times New Roman"/>
          <w:sz w:val="28"/>
          <w:szCs w:val="28"/>
          <w:lang w:val="en-US"/>
        </w:rPr>
        <w:t>[</w:t>
      </w:r>
      <w:r w:rsidRPr="00C04F24">
        <w:rPr>
          <w:rFonts w:ascii="Times New Roman" w:eastAsia="Calibri" w:hAnsi="Times New Roman" w:cs="Times New Roman"/>
          <w:sz w:val="28"/>
          <w:szCs w:val="28"/>
        </w:rPr>
        <w:t>Электронный</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ресурс</w:t>
      </w:r>
      <w:r w:rsidRPr="00C04F24">
        <w:rPr>
          <w:rFonts w:ascii="Times New Roman" w:eastAsia="Calibri" w:hAnsi="Times New Roman" w:cs="Times New Roman"/>
          <w:sz w:val="28"/>
          <w:szCs w:val="28"/>
          <w:lang w:val="en-US"/>
        </w:rPr>
        <w:t xml:space="preserve">]. – </w:t>
      </w:r>
      <w:r w:rsidRPr="00C04F24">
        <w:rPr>
          <w:rFonts w:ascii="Times New Roman" w:eastAsia="Calibri" w:hAnsi="Times New Roman" w:cs="Times New Roman"/>
          <w:sz w:val="28"/>
          <w:szCs w:val="28"/>
        </w:rPr>
        <w:t>Режим</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доступа</w:t>
      </w:r>
      <w:r w:rsidRPr="00C04F24">
        <w:rPr>
          <w:rFonts w:ascii="Times New Roman" w:eastAsia="Calibri" w:hAnsi="Times New Roman" w:cs="Times New Roman"/>
          <w:sz w:val="28"/>
          <w:szCs w:val="28"/>
          <w:lang w:val="en-US"/>
        </w:rPr>
        <w:t xml:space="preserve">: Ministry of Health, Labour and Welfare (Japan) (27 </w:t>
      </w:r>
      <w:r w:rsidRPr="00C04F24">
        <w:rPr>
          <w:rFonts w:ascii="Times New Roman" w:eastAsia="Calibri" w:hAnsi="Times New Roman" w:cs="Times New Roman"/>
          <w:sz w:val="28"/>
          <w:szCs w:val="28"/>
        </w:rPr>
        <w:t>марта</w:t>
      </w:r>
      <w:r w:rsidRPr="00C04F24">
        <w:rPr>
          <w:rFonts w:ascii="Times New Roman" w:eastAsia="Calibri" w:hAnsi="Times New Roman" w:cs="Times New Roman"/>
          <w:sz w:val="28"/>
          <w:szCs w:val="28"/>
          <w:lang w:val="en-US"/>
        </w:rPr>
        <w:t xml:space="preserve"> 2020). -</w:t>
      </w:r>
      <w:r w:rsidRPr="00C04F24">
        <w:rPr>
          <w:rFonts w:ascii="Times New Roman" w:eastAsia="Calibri" w:hAnsi="Times New Roman" w:cs="Times New Roman"/>
          <w:sz w:val="28"/>
          <w:szCs w:val="28"/>
        </w:rPr>
        <w:t>Загл</w:t>
      </w:r>
      <w:r w:rsidRPr="00C04F24">
        <w:rPr>
          <w:rFonts w:ascii="Times New Roman" w:eastAsia="Calibri" w:hAnsi="Times New Roman" w:cs="Times New Roman"/>
          <w:sz w:val="28"/>
          <w:szCs w:val="28"/>
          <w:lang w:val="en-US"/>
        </w:rPr>
        <w:t>.</w:t>
      </w:r>
      <w:r w:rsidRPr="00C04F24">
        <w:rPr>
          <w:rFonts w:ascii="Times New Roman" w:eastAsia="Calibri" w:hAnsi="Times New Roman" w:cs="Times New Roman"/>
          <w:sz w:val="28"/>
          <w:szCs w:val="28"/>
        </w:rPr>
        <w:t>с</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экрана</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Дата обращения: 28 марта 2020.</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COVID-19 Italia - Monitoraggio della situazione (итал.) </w:t>
      </w:r>
      <w:r w:rsidRPr="00C04F24">
        <w:rPr>
          <w:rFonts w:ascii="Times New Roman" w:eastAsia="Calibri" w:hAnsi="Times New Roman" w:cs="Times New Roman"/>
          <w:sz w:val="28"/>
          <w:szCs w:val="28"/>
        </w:rPr>
        <w:t xml:space="preserve">[Электронный ресурс]. – Режим доступа: </w:t>
      </w:r>
      <w:hyperlink r:id="rId48" w:history="1">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opendatadpc</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maps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arcgis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com</w:t>
        </w:r>
      </w:hyperlink>
      <w:r w:rsidRPr="00C04F24">
        <w:rPr>
          <w:rFonts w:ascii="Times New Roman" w:eastAsia="Calibri" w:hAnsi="Times New Roman" w:cs="Times New Roman"/>
          <w:sz w:val="28"/>
          <w:szCs w:val="28"/>
        </w:rPr>
        <w:t xml:space="preserve"> .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Coronavirus (COVID-19) in the UK (</w:t>
      </w:r>
      <w:r w:rsidRPr="00C04F24">
        <w:rPr>
          <w:rFonts w:ascii="Times New Roman" w:eastAsia="Calibri" w:hAnsi="Times New Roman" w:cs="Times New Roman"/>
          <w:sz w:val="28"/>
          <w:szCs w:val="28"/>
        </w:rPr>
        <w:t>англ</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 xml:space="preserve">[Электронный ресурс]. – Режим доступа: </w:t>
      </w:r>
      <w:hyperlink r:id="rId49" w:history="1">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coronavirus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data</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gov</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uk</w:t>
        </w:r>
      </w:hyperlink>
      <w:r w:rsidRPr="00C04F24">
        <w:rPr>
          <w:rFonts w:ascii="Times New Roman" w:eastAsia="Calibri" w:hAnsi="Times New Roman" w:cs="Times New Roman"/>
          <w:sz w:val="28"/>
          <w:szCs w:val="28"/>
        </w:rPr>
        <w:t>. – Загл.с экрана. (6 мая 2020). Дата обращения: 6 мая 2020.</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rPr>
        <w:t xml:space="preserve">Стопкоронавирус.рф Оперативные данные. [Электронный ресурс]. – Режим доступа: </w:t>
      </w:r>
      <w:hyperlink r:id="rId50" w:history="1">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stopkoronovirus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ru</w:t>
        </w:r>
      </w:hyperlink>
      <w:r w:rsidRPr="00C04F24">
        <w:rPr>
          <w:rFonts w:ascii="Times New Roman" w:eastAsia="Calibri" w:hAnsi="Times New Roman" w:cs="Times New Roman"/>
          <w:sz w:val="28"/>
          <w:szCs w:val="28"/>
        </w:rPr>
        <w:t>. – Загл.с экрана. (6 мая 2020). Дата обращения: 28 марта 2020.</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sz w:val="28"/>
          <w:szCs w:val="28"/>
          <w:lang w:val="en-US"/>
        </w:rPr>
        <w:t xml:space="preserve">1,704 new cases confirmed in Turkey, death toll hits 108 - Turkey News (англ.) // Hürriyet Daily News. – </w:t>
      </w:r>
      <w:r w:rsidRPr="00C04F24">
        <w:rPr>
          <w:rFonts w:ascii="Times New Roman" w:eastAsia="Calibri" w:hAnsi="Times New Roman" w:cs="Times New Roman"/>
          <w:sz w:val="28"/>
          <w:szCs w:val="28"/>
        </w:rPr>
        <w:t>Загл</w:t>
      </w:r>
      <w:r w:rsidRPr="00C04F24">
        <w:rPr>
          <w:rFonts w:ascii="Times New Roman" w:eastAsia="Calibri" w:hAnsi="Times New Roman" w:cs="Times New Roman"/>
          <w:sz w:val="28"/>
          <w:szCs w:val="28"/>
          <w:lang w:val="en-US"/>
        </w:rPr>
        <w:t>.</w:t>
      </w:r>
      <w:r w:rsidRPr="00C04F24">
        <w:rPr>
          <w:rFonts w:ascii="Times New Roman" w:eastAsia="Calibri" w:hAnsi="Times New Roman" w:cs="Times New Roman"/>
          <w:sz w:val="28"/>
          <w:szCs w:val="28"/>
        </w:rPr>
        <w:t>с</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экрана</w:t>
      </w:r>
      <w:r w:rsidRPr="00C04F24">
        <w:rPr>
          <w:rFonts w:ascii="Times New Roman" w:eastAsia="Calibri" w:hAnsi="Times New Roman" w:cs="Times New Roman"/>
          <w:sz w:val="28"/>
          <w:szCs w:val="28"/>
          <w:lang w:val="en-US"/>
        </w:rPr>
        <w:t>. Дата обращения: 28 марта 2020.</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Riou, J.</w:t>
      </w:r>
      <w:r w:rsidRPr="00C04F24">
        <w:rPr>
          <w:rFonts w:ascii="Times New Roman" w:eastAsia="Calibri" w:hAnsi="Times New Roman" w:cs="Times New Roman"/>
          <w:sz w:val="28"/>
          <w:szCs w:val="28"/>
          <w:lang w:val="en-US"/>
        </w:rPr>
        <w:t xml:space="preserve"> Pattern of early human-to-human transmission of Wuhan 2019 novel coronavirus (2019-nCoV) [Text] / J. Riou, C.L. Althaus // Euro Surveill. – 2020. – Vol.25(4). – P.2000-058.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Zhao, S.</w:t>
      </w:r>
      <w:r w:rsidRPr="00C04F24">
        <w:rPr>
          <w:rFonts w:ascii="Times New Roman" w:eastAsia="Calibri" w:hAnsi="Times New Roman" w:cs="Times New Roman"/>
          <w:sz w:val="28"/>
          <w:szCs w:val="28"/>
          <w:lang w:val="en-US"/>
        </w:rPr>
        <w:t xml:space="preserve"> Preliminary estimation of the basic reproduction number of novel coronavirus (2019-nCoV) in China rom 2019 to 2020. A data driven analysis in the </w:t>
      </w:r>
      <w:r w:rsidRPr="00C04F24">
        <w:rPr>
          <w:rFonts w:ascii="Times New Roman" w:eastAsia="Calibri" w:hAnsi="Times New Roman" w:cs="Times New Roman"/>
          <w:sz w:val="28"/>
          <w:szCs w:val="28"/>
          <w:lang w:val="en-US"/>
        </w:rPr>
        <w:lastRenderedPageBreak/>
        <w:t>early phase of the outbreak [Text] / S. Zhao, Q. Lin, J. Ran // Int J Infect Dis. – 2020. Vol.92. – P.214–217.</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Zhou, T.</w:t>
      </w:r>
      <w:r w:rsidRPr="00C04F24">
        <w:rPr>
          <w:rFonts w:ascii="Times New Roman" w:eastAsia="Calibri" w:hAnsi="Times New Roman" w:cs="Times New Roman"/>
          <w:sz w:val="28"/>
          <w:szCs w:val="28"/>
          <w:lang w:val="en-US"/>
        </w:rPr>
        <w:t xml:space="preserve"> Preliminary prediction of the basic reproduction number of the Wuhan novelcoronavirus 2019-nCov. [Text] / T. Zhou, Q. Liu, Z.Yang et al. // J Evid Based Med. – 2020. – Vol.13(1). – P.3–7.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Chan, J.F.</w:t>
      </w:r>
      <w:r w:rsidRPr="00C04F24">
        <w:rPr>
          <w:rFonts w:ascii="Times New Roman" w:eastAsia="Calibri" w:hAnsi="Times New Roman" w:cs="Times New Roman"/>
          <w:sz w:val="28"/>
          <w:szCs w:val="28"/>
          <w:lang w:val="en-US"/>
        </w:rPr>
        <w:t xml:space="preserve"> A familial cluster of pneumonia associated with the 2019 novel coronavirusindicating person-to-person transmission: a study of a family cluster [Text] / J.F.Chan, S. Yuan, K.H. Kok et al. // Lancet. – 2020. Vol.395(10223). – P.514–523.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Pilailuk, O. </w:t>
      </w:r>
      <w:r w:rsidRPr="00C04F24">
        <w:rPr>
          <w:rFonts w:ascii="Times New Roman" w:eastAsia="Calibri" w:hAnsi="Times New Roman" w:cs="Times New Roman"/>
          <w:sz w:val="28"/>
          <w:szCs w:val="28"/>
          <w:lang w:val="en-US"/>
        </w:rPr>
        <w:t>Early transmission patterns of coronavirus disease 2019 (COVID-19) intravellers from Wuhan to Thailand January 2020 [Text] / O.Pilailuk, B.Rome, P.Siripapom et al. // Euro Surveill. -2020. – Vol.25(8). – P.2000-097.</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Zou, L.</w:t>
      </w:r>
      <w:r w:rsidRPr="00C04F24">
        <w:rPr>
          <w:rFonts w:ascii="Times New Roman" w:eastAsia="Calibri" w:hAnsi="Times New Roman" w:cs="Times New Roman"/>
          <w:sz w:val="28"/>
          <w:szCs w:val="28"/>
          <w:lang w:val="en-US"/>
        </w:rPr>
        <w:t xml:space="preserve"> SARS-CoV-2 Viral Load in Upper Respiratory Specimens of Infected Patients [Text] / L.Zou, F.Ruan, M.Huang et al. // N Engl JMed. – 2020. – Vol.382(12). – P.1177–1179.</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Li, Q. </w:t>
      </w:r>
      <w:r w:rsidRPr="00C04F24">
        <w:rPr>
          <w:rFonts w:ascii="Times New Roman" w:eastAsia="Calibri" w:hAnsi="Times New Roman" w:cs="Times New Roman"/>
          <w:sz w:val="28"/>
          <w:szCs w:val="28"/>
          <w:lang w:val="en-US"/>
        </w:rPr>
        <w:t>Early transmission dynamics in Wuhan, China of novel coronavirus-infected pneumonia [Text] / Q.Li, X.Guan, P. Wu et al. //  NEngl J Med. – 2020. – Vol.382(13). – P.1199–1207.</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Zhang, Y. </w:t>
      </w:r>
      <w:r w:rsidRPr="00C04F24">
        <w:rPr>
          <w:rFonts w:ascii="Times New Roman" w:eastAsia="Calibri" w:hAnsi="Times New Roman" w:cs="Times New Roman"/>
          <w:sz w:val="28"/>
          <w:szCs w:val="28"/>
          <w:lang w:val="en-US"/>
        </w:rPr>
        <w:t>Isolation of 2019-nCoV from a stool specimen of a lab confirmed case of thecoronavirusdisease 2019 (COVID-19) [Text] / Y. Zhang, C. Chen, S. Zhu // China CDC Weekly. – 2020. – Vol.2(8). – P.123–124.</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Karimi-Zarchi, M. </w:t>
      </w:r>
      <w:r w:rsidRPr="00C04F24">
        <w:rPr>
          <w:rFonts w:ascii="Times New Roman" w:eastAsia="Calibri" w:hAnsi="Times New Roman" w:cs="Times New Roman"/>
          <w:sz w:val="28"/>
          <w:szCs w:val="28"/>
          <w:lang w:val="en-US"/>
        </w:rPr>
        <w:t xml:space="preserve">Vertical Transmission of Coronavirus Disease 19 (COVID-19)from Infected Pregnant Mothers to Neonates: a Review [Text] / M. Karimi-Zarchi, H.Neamatzadeh, S.A. Dastgheib et al. // Fetal Pediatr Pathol. – 2020. – Vol.39(3). – P.246–250.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Alzamora, M.C.</w:t>
      </w:r>
      <w:r w:rsidRPr="00C04F24">
        <w:rPr>
          <w:rFonts w:ascii="Times New Roman" w:eastAsia="Calibri" w:hAnsi="Times New Roman" w:cs="Times New Roman"/>
          <w:sz w:val="28"/>
          <w:szCs w:val="28"/>
          <w:lang w:val="en-US"/>
        </w:rPr>
        <w:t xml:space="preserve"> During Pregnancy and Possible Vertical Transmission [Text] / M.C. Alzamora, T. Paredes, D.Caceres // Am J Perinatol. – 2020. – Vol.37(8). – P.861–865.</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b/>
          <w:bCs/>
          <w:sz w:val="28"/>
          <w:szCs w:val="28"/>
          <w:lang w:val="en-US"/>
        </w:rPr>
        <w:t>Berghella, V</w:t>
      </w:r>
      <w:r w:rsidRPr="00C04F24">
        <w:rPr>
          <w:rFonts w:ascii="Times New Roman" w:eastAsia="Calibri" w:hAnsi="Times New Roman" w:cs="Times New Roman"/>
          <w:sz w:val="28"/>
          <w:szCs w:val="28"/>
          <w:lang w:val="en-US"/>
        </w:rPr>
        <w:t xml:space="preserve"> (2020, May 13). Coronavirus disease 2019 (COVID-19): pregnancy issues. </w:t>
      </w:r>
      <w:r w:rsidRPr="00C04F24">
        <w:rPr>
          <w:rFonts w:ascii="Times New Roman" w:eastAsia="Calibri" w:hAnsi="Times New Roman" w:cs="Times New Roman"/>
          <w:sz w:val="28"/>
          <w:szCs w:val="28"/>
        </w:rPr>
        <w:t xml:space="preserve">[Электронный ресурс]. – Режим доступа: </w:t>
      </w:r>
      <w:r w:rsidRPr="00C04F24">
        <w:rPr>
          <w:rFonts w:ascii="Times New Roman" w:eastAsia="Calibri" w:hAnsi="Times New Roman" w:cs="Times New Roman"/>
          <w:sz w:val="28"/>
          <w:szCs w:val="28"/>
          <w:lang w:val="en-US"/>
        </w:rPr>
        <w:t>Available</w:t>
      </w:r>
      <w:r w:rsidRPr="00C04F24">
        <w:rPr>
          <w:rFonts w:ascii="Times New Roman" w:eastAsia="Calibri" w:hAnsi="Times New Roman" w:cs="Times New Roman"/>
          <w:sz w:val="28"/>
          <w:szCs w:val="28"/>
        </w:rPr>
        <w:t xml:space="preserve"> </w:t>
      </w:r>
      <w:r w:rsidRPr="00C04F24">
        <w:rPr>
          <w:rFonts w:ascii="Times New Roman" w:eastAsia="Calibri" w:hAnsi="Times New Roman" w:cs="Times New Roman"/>
          <w:sz w:val="28"/>
          <w:szCs w:val="28"/>
          <w:lang w:val="en-US"/>
        </w:rPr>
        <w:t>from</w:t>
      </w:r>
      <w:r w:rsidRPr="00C04F24">
        <w:rPr>
          <w:rFonts w:ascii="Times New Roman" w:eastAsia="Calibri" w:hAnsi="Times New Roman" w:cs="Times New Roman"/>
          <w:sz w:val="28"/>
          <w:szCs w:val="28"/>
        </w:rPr>
        <w:t xml:space="preserve">: </w:t>
      </w:r>
      <w:hyperlink r:id="rId51"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uptodate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com</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contents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coronavirus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disease</w:t>
        </w:r>
        <w:r w:rsidRPr="00C04F24">
          <w:rPr>
            <w:rFonts w:ascii="Times New Roman" w:eastAsia="Calibri" w:hAnsi="Times New Roman" w:cs="Times New Roman"/>
            <w:color w:val="0563C1" w:themeColor="hyperlink"/>
            <w:sz w:val="28"/>
            <w:szCs w:val="28"/>
            <w:u w:val="single"/>
          </w:rPr>
          <w:t>-2019-</w:t>
        </w:r>
        <w:r w:rsidRPr="00C04F24">
          <w:rPr>
            <w:rFonts w:ascii="Times New Roman" w:eastAsia="Calibri" w:hAnsi="Times New Roman" w:cs="Times New Roman"/>
            <w:color w:val="0563C1" w:themeColor="hyperlink"/>
            <w:sz w:val="28"/>
            <w:szCs w:val="28"/>
            <w:u w:val="single"/>
            <w:lang w:val="en-US"/>
          </w:rPr>
          <w:t>covid</w:t>
        </w:r>
        <w:r w:rsidRPr="00C04F24">
          <w:rPr>
            <w:rFonts w:ascii="Times New Roman" w:eastAsia="Calibri" w:hAnsi="Times New Roman" w:cs="Times New Roman"/>
            <w:color w:val="0563C1" w:themeColor="hyperlink"/>
            <w:sz w:val="28"/>
            <w:szCs w:val="28"/>
            <w:u w:val="single"/>
          </w:rPr>
          <w:t>-19-</w:t>
        </w:r>
        <w:r w:rsidRPr="00C04F24">
          <w:rPr>
            <w:rFonts w:ascii="Times New Roman" w:eastAsia="Calibri" w:hAnsi="Times New Roman" w:cs="Times New Roman"/>
            <w:color w:val="0563C1" w:themeColor="hyperlink"/>
            <w:sz w:val="28"/>
            <w:szCs w:val="28"/>
            <w:u w:val="single"/>
            <w:lang w:val="en-US"/>
          </w:rPr>
          <w:t>pregnancy</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issues</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Kalyanasundaram, S.</w:t>
      </w:r>
      <w:r w:rsidRPr="00C04F24">
        <w:rPr>
          <w:rFonts w:ascii="Times New Roman" w:eastAsia="Calibri" w:hAnsi="Times New Roman" w:cs="Times New Roman"/>
          <w:sz w:val="28"/>
          <w:szCs w:val="28"/>
          <w:lang w:val="en-US"/>
        </w:rPr>
        <w:t xml:space="preserve"> Novel Corona Virus Pandemic and Neonatal Care: it’s TooEarly to Speculate on Impact! [Text] / S.Kalyanasundaram, K. Krishnamurthy, A. Sridhar et al. // SN Compr Clin Med. – 2020. – P.1–7.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Martínez-Perez, O. </w:t>
      </w:r>
      <w:r w:rsidRPr="00C04F24">
        <w:rPr>
          <w:rFonts w:ascii="Times New Roman" w:eastAsia="Calibri" w:hAnsi="Times New Roman" w:cs="Times New Roman"/>
          <w:sz w:val="28"/>
          <w:szCs w:val="28"/>
          <w:lang w:val="en-US"/>
        </w:rPr>
        <w:t xml:space="preserve">Association Between Mode of Delivery Among Pregnant WomenWith COVID-19 and Maternal and Neonatal Outcomes in Spain [Text] / O. Martinez-Perez, M. Vouga, S. Cruz Melguizo et al. // JAMA. – 2020. – Vol.324(3). – P.296–299.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Dong, L.</w:t>
      </w:r>
      <w:r w:rsidRPr="00C04F24">
        <w:rPr>
          <w:rFonts w:ascii="Times New Roman" w:eastAsia="Calibri" w:hAnsi="Times New Roman" w:cs="Times New Roman"/>
          <w:sz w:val="28"/>
          <w:szCs w:val="28"/>
          <w:lang w:val="en-US"/>
        </w:rPr>
        <w:t xml:space="preserve"> Possible vertical transmission of SARSCoV-2 from an infected mother to her new born [Text] / L.Dong, J.Tian, S.He et al. // JAMA. – 2020. – Vol.323(18). – P.1846–1848.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Chen, Y. </w:t>
      </w:r>
      <w:r w:rsidRPr="00C04F24">
        <w:rPr>
          <w:rFonts w:ascii="Times New Roman" w:eastAsia="Calibri" w:hAnsi="Times New Roman" w:cs="Times New Roman"/>
          <w:sz w:val="28"/>
          <w:szCs w:val="28"/>
          <w:lang w:val="en-US"/>
        </w:rPr>
        <w:t xml:space="preserve"> Infants born to mothers with a new coronavirus (COVID-19) [Text] / Y. Chen, H. Peng, L. Wang et al. // Front Pediatr. -2020. – Vol.8. – P.104.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Arnaez, J.</w:t>
      </w:r>
      <w:r w:rsidRPr="00C04F24">
        <w:rPr>
          <w:rFonts w:ascii="Times New Roman" w:eastAsia="Calibri" w:hAnsi="Times New Roman" w:cs="Times New Roman"/>
          <w:sz w:val="28"/>
          <w:szCs w:val="28"/>
          <w:lang w:val="en-US"/>
        </w:rPr>
        <w:t xml:space="preserve"> The impact of the current SARS-CoV-2 pandemic on neonatal care [Text] / J. Arnaez, M.T. Montes, N. Herranz-Rubia // Front  Pediatr. – 2020. – Vol.8. – P.247.</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Yi, Y. </w:t>
      </w:r>
      <w:r w:rsidRPr="00C04F24">
        <w:rPr>
          <w:rFonts w:ascii="Times New Roman" w:eastAsia="Calibri" w:hAnsi="Times New Roman" w:cs="Times New Roman"/>
          <w:sz w:val="28"/>
          <w:szCs w:val="28"/>
          <w:lang w:val="en-US"/>
        </w:rPr>
        <w:t>What has been learned and to be learned about the novel coronavirus disease [Text] / Y.Yi, P.N.P. Lagnition, S.Ye et al. // Int J BiolSci. – 2020. – Vol.16(10). – P.1753–1766.</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Hoffmann, M. </w:t>
      </w:r>
      <w:r w:rsidRPr="00C04F24">
        <w:rPr>
          <w:rFonts w:ascii="Times New Roman" w:eastAsia="Calibri" w:hAnsi="Times New Roman" w:cs="Times New Roman"/>
          <w:sz w:val="28"/>
          <w:szCs w:val="28"/>
          <w:lang w:val="en-US"/>
        </w:rPr>
        <w:t xml:space="preserve"> The novel coronavirus 2019 (2-nCoV) uses the SARS-coronavirusreceptor 2 ACE2 and the cellular protease TMPRSS2 for entry into target cells [Text] / M. Hoffmann, H. Kleine-Weber, N. Kruger // Preprint. – 2020. - . DOI:10.1101/2020.01.31.929042 bioRxiv</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Lin, L. </w:t>
      </w:r>
      <w:r w:rsidRPr="00C04F24">
        <w:rPr>
          <w:rFonts w:ascii="Times New Roman" w:eastAsia="Calibri" w:hAnsi="Times New Roman" w:cs="Times New Roman"/>
          <w:sz w:val="28"/>
          <w:szCs w:val="28"/>
          <w:lang w:val="en-US"/>
        </w:rPr>
        <w:t>Hypothesis for potential pathogenesis of SARS-CoV-2 infection-a review of immune changesin patients with viral pneumonia [Text] / L. Lin, L. Lu, W. Cao // Emerg Microbes Infect. – 2020. – Vol.9(1). – P.727–732.</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Wu, Y.</w:t>
      </w:r>
      <w:r w:rsidRPr="00C04F24">
        <w:rPr>
          <w:rFonts w:ascii="Times New Roman" w:eastAsia="Calibri" w:hAnsi="Times New Roman" w:cs="Times New Roman"/>
          <w:sz w:val="28"/>
          <w:szCs w:val="28"/>
          <w:lang w:val="en-US"/>
        </w:rPr>
        <w:t xml:space="preserve"> Immune Injury Mechanisms in 71 Patients with COVID-19 [Text] / Y. Wu, X. Huang, J.Sun et al. // mSphere. – 2020. – Vol.5(4). – P.e00362–20.</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lastRenderedPageBreak/>
        <w:t>Coccia, E.M.</w:t>
      </w:r>
      <w:r w:rsidRPr="00C04F24">
        <w:rPr>
          <w:rFonts w:ascii="Times New Roman" w:eastAsia="Calibri" w:hAnsi="Times New Roman" w:cs="Times New Roman"/>
          <w:sz w:val="28"/>
          <w:szCs w:val="28"/>
          <w:lang w:val="en-US"/>
        </w:rPr>
        <w:t xml:space="preserve"> Early IFN type I response: learning from microbial evasion strategies [Text] / E.M. Coccia, A. Battistini // Semin Immunol. – 2019. – Vol.27(2). – P.85–101.</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Hu, G.</w:t>
      </w:r>
      <w:r w:rsidRPr="00C04F24">
        <w:rPr>
          <w:rFonts w:ascii="Times New Roman" w:eastAsia="Calibri" w:hAnsi="Times New Roman" w:cs="Times New Roman"/>
          <w:sz w:val="28"/>
          <w:szCs w:val="28"/>
          <w:lang w:val="en-US"/>
        </w:rPr>
        <w:t xml:space="preserve"> Alveolar Macrophages in Lung Inflammation and Resolution [Text] / G. Hu, J.W. Christman // Front Immunol. – 2019. – Vol.10. – P.2275.</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Abdulkhaleq, L.A. </w:t>
      </w:r>
      <w:r w:rsidRPr="00C04F24">
        <w:rPr>
          <w:rFonts w:ascii="Times New Roman" w:eastAsia="Calibri" w:hAnsi="Times New Roman" w:cs="Times New Roman"/>
          <w:sz w:val="28"/>
          <w:szCs w:val="28"/>
          <w:lang w:val="en-US"/>
        </w:rPr>
        <w:t>The crucial roles of inflammatory mediators in inflammation: a review [Text] / L.A.Abdulkhaleq,  M.A. Assi, R. Abdullah et al. // Vet World. – 2018. – Vol.11(5). – P.627–635.</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Fahey, E.</w:t>
      </w:r>
      <w:r w:rsidRPr="00C04F24">
        <w:rPr>
          <w:rFonts w:ascii="Times New Roman" w:eastAsia="Calibri" w:hAnsi="Times New Roman" w:cs="Times New Roman"/>
          <w:sz w:val="28"/>
          <w:szCs w:val="28"/>
          <w:lang w:val="en-US"/>
        </w:rPr>
        <w:t xml:space="preserve"> IL-1 Family Cytokine Regulation of Vascular Permeability and Angiogenesis [Text] / E. Fahey, S.L. Doyle // Front Immunol. – 2019. – Vol.10. – P.1426.</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Gonzales, J.N. </w:t>
      </w:r>
      <w:r w:rsidRPr="00C04F24">
        <w:rPr>
          <w:rFonts w:ascii="Times New Roman" w:eastAsia="Calibri" w:hAnsi="Times New Roman" w:cs="Times New Roman"/>
          <w:sz w:val="28"/>
          <w:szCs w:val="28"/>
          <w:lang w:val="en-US"/>
        </w:rPr>
        <w:t xml:space="preserve"> The Acute Respiratory Distress Syndrome: mechanisms and PerspectiveTherapeutic Approaches [Text] /J.N. Gonzales, R. Lucas, A.D.Verin //  Austin J Vasc Med. – 2015. – Vol.2(1). – P.1009.</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shd w:val="clear" w:color="auto" w:fill="FFFFFF"/>
          <w:lang w:val="en-US"/>
        </w:rPr>
        <w:t>Rahman, S.</w:t>
      </w:r>
      <w:r w:rsidRPr="00C04F24">
        <w:rPr>
          <w:rFonts w:ascii="Times New Roman" w:eastAsia="Calibri" w:hAnsi="Times New Roman" w:cs="Times New Roman"/>
          <w:sz w:val="28"/>
          <w:szCs w:val="28"/>
          <w:shd w:val="clear" w:color="auto" w:fill="FFFFFF"/>
          <w:lang w:val="en-US"/>
        </w:rPr>
        <w:t xml:space="preserve"> Epidemiology, pathogenesis, clinical presentations, diagnosis and treatment of COVID-19: a review of current evidence </w:t>
      </w:r>
      <w:r w:rsidRPr="00C04F24">
        <w:rPr>
          <w:rFonts w:ascii="Times New Roman" w:eastAsia="Calibri" w:hAnsi="Times New Roman" w:cs="Times New Roman"/>
          <w:sz w:val="28"/>
          <w:szCs w:val="28"/>
          <w:lang w:val="en-US"/>
        </w:rPr>
        <w:t xml:space="preserve">[Text] / S. Rahman, M.T. Montero, K. Kirton et al. // </w:t>
      </w:r>
      <w:r w:rsidRPr="00C04F24">
        <w:rPr>
          <w:rFonts w:ascii="Times New Roman" w:eastAsia="Calibri" w:hAnsi="Times New Roman" w:cs="Times New Roman"/>
          <w:sz w:val="28"/>
          <w:szCs w:val="28"/>
          <w:shd w:val="clear" w:color="auto" w:fill="FFFFFF"/>
          <w:lang w:val="en-US"/>
        </w:rPr>
        <w:t>Expert review of clinical pharmacology. – 2021. – Vol.14(5). P.601-21.</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rPr>
        <w:t xml:space="preserve">Приказы Министерства здравоохранения Кыргызской Республики [Электронный ресурс]. – Режим доступа: </w:t>
      </w:r>
      <w:hyperlink r:id="rId52"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med</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kg</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prikazy</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Coronavirus disease 2019 (COVID-19) [Text] // BMJ Best Practice. – 2021. -  04.02. </w:t>
      </w:r>
      <w:r w:rsidRPr="00C04F24">
        <w:rPr>
          <w:rFonts w:ascii="Times New Roman" w:eastAsia="Calibri" w:hAnsi="Times New Roman" w:cs="Times New Roman"/>
          <w:sz w:val="28"/>
          <w:szCs w:val="28"/>
        </w:rPr>
        <w:t xml:space="preserve">[Электронный ресурс]. – Режим доступа:  </w:t>
      </w:r>
      <w:hyperlink r:id="rId53"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mayoclinic</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org</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diseases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conditions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coronavirus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symptoms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causes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syc</w:t>
        </w:r>
        <w:r w:rsidRPr="00C04F24">
          <w:rPr>
            <w:rFonts w:ascii="Times New Roman" w:eastAsia="Calibri" w:hAnsi="Times New Roman" w:cs="Times New Roman"/>
            <w:color w:val="0563C1" w:themeColor="hyperlink"/>
            <w:sz w:val="28"/>
            <w:szCs w:val="28"/>
            <w:u w:val="single"/>
          </w:rPr>
          <w:t>-20479963</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COVID</w:t>
      </w:r>
      <w:r w:rsidRPr="00C04F24">
        <w:rPr>
          <w:rFonts w:ascii="Times New Roman" w:eastAsia="Calibri" w:hAnsi="Times New Roman" w:cs="Times New Roman"/>
          <w:sz w:val="28"/>
          <w:szCs w:val="28"/>
        </w:rPr>
        <w:t xml:space="preserve">-19: </w:t>
      </w:r>
      <w:r w:rsidRPr="00C04F24">
        <w:rPr>
          <w:rFonts w:ascii="Times New Roman" w:eastAsia="Calibri" w:hAnsi="Times New Roman" w:cs="Times New Roman"/>
          <w:sz w:val="28"/>
          <w:szCs w:val="28"/>
          <w:lang w:val="en-US"/>
        </w:rPr>
        <w:t>Clinical</w:t>
      </w:r>
      <w:r w:rsidRPr="00C04F24">
        <w:rPr>
          <w:rFonts w:ascii="Times New Roman" w:eastAsia="Calibri" w:hAnsi="Times New Roman" w:cs="Times New Roman"/>
          <w:sz w:val="28"/>
          <w:szCs w:val="28"/>
        </w:rPr>
        <w:t xml:space="preserve"> </w:t>
      </w:r>
      <w:r w:rsidRPr="00C04F24">
        <w:rPr>
          <w:rFonts w:ascii="Times New Roman" w:eastAsia="Calibri" w:hAnsi="Times New Roman" w:cs="Times New Roman"/>
          <w:sz w:val="28"/>
          <w:szCs w:val="28"/>
          <w:lang w:val="en-US"/>
        </w:rPr>
        <w:t>management</w:t>
      </w:r>
      <w:r w:rsidRPr="00C04F24">
        <w:rPr>
          <w:rFonts w:ascii="Times New Roman" w:eastAsia="Calibri" w:hAnsi="Times New Roman" w:cs="Times New Roman"/>
          <w:sz w:val="28"/>
          <w:szCs w:val="28"/>
        </w:rPr>
        <w:t xml:space="preserve">, </w:t>
      </w:r>
      <w:r w:rsidRPr="00C04F24">
        <w:rPr>
          <w:rFonts w:ascii="Times New Roman" w:eastAsia="Calibri" w:hAnsi="Times New Roman" w:cs="Times New Roman"/>
          <w:sz w:val="28"/>
          <w:szCs w:val="28"/>
          <w:lang w:val="en-US"/>
        </w:rPr>
        <w:t>WHO</w:t>
      </w:r>
      <w:r w:rsidRPr="00C04F24">
        <w:rPr>
          <w:rFonts w:ascii="Times New Roman" w:eastAsia="Calibri" w:hAnsi="Times New Roman" w:cs="Times New Roman"/>
          <w:sz w:val="28"/>
          <w:szCs w:val="28"/>
        </w:rPr>
        <w:t xml:space="preserve">, 25.01.2021 [Электронный ресурс]. – Режим доступа: </w:t>
      </w:r>
      <w:hyperlink r:id="rId54"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who</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int</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publications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i</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item</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WHO</w:t>
        </w:r>
        <w:r w:rsidRPr="00C04F24">
          <w:rPr>
            <w:rFonts w:ascii="Times New Roman" w:eastAsia="Calibri" w:hAnsi="Times New Roman" w:cs="Times New Roman"/>
            <w:color w:val="0563C1" w:themeColor="hyperlink"/>
            <w:sz w:val="28"/>
            <w:szCs w:val="28"/>
            <w:u w:val="single"/>
          </w:rPr>
          <w:t>-2019-</w:t>
        </w:r>
        <w:r w:rsidRPr="00C04F24">
          <w:rPr>
            <w:rFonts w:ascii="Times New Roman" w:eastAsia="Calibri" w:hAnsi="Times New Roman" w:cs="Times New Roman"/>
            <w:color w:val="0563C1" w:themeColor="hyperlink"/>
            <w:sz w:val="28"/>
            <w:szCs w:val="28"/>
            <w:u w:val="single"/>
            <w:lang w:val="en-US"/>
          </w:rPr>
          <w:t>nCoV</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clinical</w:t>
        </w:r>
        <w:r w:rsidRPr="00C04F24">
          <w:rPr>
            <w:rFonts w:ascii="Times New Roman" w:eastAsia="Calibri" w:hAnsi="Times New Roman" w:cs="Times New Roman"/>
            <w:color w:val="0563C1" w:themeColor="hyperlink"/>
            <w:sz w:val="28"/>
            <w:szCs w:val="28"/>
            <w:u w:val="single"/>
          </w:rPr>
          <w:t>-2021-1</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sz w:val="28"/>
          <w:szCs w:val="28"/>
          <w:lang w:val="en-US"/>
        </w:rPr>
        <w:t>COVID-19 rapid guideline: managing the long-term effects of COVID-19, NICE, 18.12.2020 [</w:t>
      </w:r>
      <w:r w:rsidRPr="00C04F24">
        <w:rPr>
          <w:rFonts w:ascii="Times New Roman" w:eastAsia="Calibri" w:hAnsi="Times New Roman" w:cs="Times New Roman"/>
          <w:sz w:val="28"/>
          <w:szCs w:val="28"/>
        </w:rPr>
        <w:t>Электронный</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ресурс</w:t>
      </w:r>
      <w:r w:rsidRPr="00C04F24">
        <w:rPr>
          <w:rFonts w:ascii="Times New Roman" w:eastAsia="Calibri" w:hAnsi="Times New Roman" w:cs="Times New Roman"/>
          <w:sz w:val="28"/>
          <w:szCs w:val="28"/>
          <w:lang w:val="en-US"/>
        </w:rPr>
        <w:t xml:space="preserve">]. – </w:t>
      </w:r>
      <w:r w:rsidRPr="00C04F24">
        <w:rPr>
          <w:rFonts w:ascii="Times New Roman" w:eastAsia="Calibri" w:hAnsi="Times New Roman" w:cs="Times New Roman"/>
          <w:sz w:val="28"/>
          <w:szCs w:val="28"/>
        </w:rPr>
        <w:t>Режим</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доступа</w:t>
      </w:r>
      <w:r w:rsidRPr="00C04F24">
        <w:rPr>
          <w:rFonts w:ascii="Times New Roman" w:eastAsia="Calibri" w:hAnsi="Times New Roman" w:cs="Times New Roman"/>
          <w:sz w:val="28"/>
          <w:szCs w:val="28"/>
          <w:lang w:val="en-US"/>
        </w:rPr>
        <w:t xml:space="preserve">: </w:t>
      </w:r>
      <w:hyperlink r:id="rId55" w:history="1">
        <w:r w:rsidRPr="00C04F24">
          <w:rPr>
            <w:rFonts w:ascii="Times New Roman" w:eastAsia="Calibri" w:hAnsi="Times New Roman" w:cs="Times New Roman"/>
            <w:color w:val="0563C1" w:themeColor="hyperlink"/>
            <w:sz w:val="28"/>
            <w:szCs w:val="28"/>
            <w:u w:val="single"/>
            <w:lang w:val="en-US"/>
          </w:rPr>
          <w:t>https://www.who.int/publications/i/item/WHO-2019-nCoV-clinical-2021-1</w:t>
        </w:r>
      </w:hyperlink>
      <w:r w:rsidRPr="00C04F24">
        <w:rPr>
          <w:rFonts w:ascii="Times New Roman" w:eastAsia="Calibri" w:hAnsi="Times New Roman" w:cs="Times New Roman"/>
          <w:sz w:val="28"/>
          <w:szCs w:val="28"/>
          <w:lang w:val="en-US"/>
        </w:rPr>
        <w:t xml:space="preserve">. – </w:t>
      </w:r>
      <w:r w:rsidRPr="00C04F24">
        <w:rPr>
          <w:rFonts w:ascii="Times New Roman" w:eastAsia="Calibri" w:hAnsi="Times New Roman" w:cs="Times New Roman"/>
          <w:sz w:val="28"/>
          <w:szCs w:val="28"/>
        </w:rPr>
        <w:t>Загл</w:t>
      </w:r>
      <w:r w:rsidRPr="00C04F24">
        <w:rPr>
          <w:rFonts w:ascii="Times New Roman" w:eastAsia="Calibri" w:hAnsi="Times New Roman" w:cs="Times New Roman"/>
          <w:sz w:val="28"/>
          <w:szCs w:val="28"/>
          <w:lang w:val="en-US"/>
        </w:rPr>
        <w:t>.</w:t>
      </w:r>
      <w:r w:rsidRPr="00C04F24">
        <w:rPr>
          <w:rFonts w:ascii="Times New Roman" w:eastAsia="Calibri" w:hAnsi="Times New Roman" w:cs="Times New Roman"/>
          <w:sz w:val="28"/>
          <w:szCs w:val="28"/>
        </w:rPr>
        <w:t>с</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экрана</w:t>
      </w:r>
      <w:r w:rsidRPr="00C04F24">
        <w:rPr>
          <w:rFonts w:ascii="Times New Roman" w:eastAsia="Calibri" w:hAnsi="Times New Roman" w:cs="Times New Roman"/>
          <w:sz w:val="28"/>
          <w:szCs w:val="28"/>
          <w:lang w:val="en-US"/>
        </w:rPr>
        <w:t xml:space="preserve">.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COVID-19 rapid guideline: reducing the risk of venous thromboembolism in over 16s with COVID-19, NICE, 20.11.2021. </w:t>
      </w:r>
      <w:r w:rsidRPr="00C04F24">
        <w:rPr>
          <w:rFonts w:ascii="Times New Roman" w:eastAsia="Calibri" w:hAnsi="Times New Roman" w:cs="Times New Roman"/>
          <w:sz w:val="28"/>
          <w:szCs w:val="28"/>
        </w:rPr>
        <w:t xml:space="preserve">[Электронный ресурс]. – Режим доступа: </w:t>
      </w:r>
      <w:hyperlink r:id="rId56"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nice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org</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uk</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guidance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ng</w:t>
        </w:r>
        <w:r w:rsidRPr="00C04F24">
          <w:rPr>
            <w:rFonts w:ascii="Times New Roman" w:eastAsia="Calibri" w:hAnsi="Times New Roman" w:cs="Times New Roman"/>
            <w:color w:val="0563C1" w:themeColor="hyperlink"/>
            <w:sz w:val="28"/>
            <w:szCs w:val="28"/>
            <w:u w:val="single"/>
          </w:rPr>
          <w:t>186</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COVID-19 rapid guideline: critical care in adults, NICE, update 12.02.2021. </w:t>
      </w:r>
      <w:r w:rsidRPr="00C04F24">
        <w:rPr>
          <w:rFonts w:ascii="Times New Roman" w:eastAsia="Calibri" w:hAnsi="Times New Roman" w:cs="Times New Roman"/>
          <w:sz w:val="28"/>
          <w:szCs w:val="28"/>
        </w:rPr>
        <w:t xml:space="preserve">[Электронный ресурс]. – Режим доступа: </w:t>
      </w:r>
      <w:hyperlink r:id="rId57"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nice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org</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uk</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guidance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ng</w:t>
        </w:r>
        <w:r w:rsidRPr="00C04F24">
          <w:rPr>
            <w:rFonts w:ascii="Times New Roman" w:eastAsia="Calibri" w:hAnsi="Times New Roman" w:cs="Times New Roman"/>
            <w:color w:val="0563C1" w:themeColor="hyperlink"/>
            <w:sz w:val="28"/>
            <w:szCs w:val="28"/>
            <w:u w:val="single"/>
          </w:rPr>
          <w:t>186</w:t>
        </w:r>
      </w:hyperlink>
      <w:r w:rsidRPr="00C04F24">
        <w:rPr>
          <w:rFonts w:ascii="Times New Roman" w:eastAsia="Calibri" w:hAnsi="Times New Roman" w:cs="Times New Roman"/>
          <w:sz w:val="28"/>
          <w:szCs w:val="28"/>
        </w:rPr>
        <w:t xml:space="preserve">. – Загл.с экрана.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COVID-19 rapid guideline: antibiotics for pneumonia in adults in hospital, NICE, 09.10.2020. </w:t>
      </w:r>
      <w:r w:rsidRPr="00C04F24">
        <w:rPr>
          <w:rFonts w:ascii="Times New Roman" w:eastAsia="Calibri" w:hAnsi="Times New Roman" w:cs="Times New Roman"/>
          <w:sz w:val="28"/>
          <w:szCs w:val="28"/>
        </w:rPr>
        <w:t xml:space="preserve">[Электронный ресурс]. – Режим доступа: </w:t>
      </w:r>
      <w:hyperlink r:id="rId58"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nice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org</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uk</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guidance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ng</w:t>
        </w:r>
        <w:r w:rsidRPr="00C04F24">
          <w:rPr>
            <w:rFonts w:ascii="Times New Roman" w:eastAsia="Calibri" w:hAnsi="Times New Roman" w:cs="Times New Roman"/>
            <w:color w:val="0563C1" w:themeColor="hyperlink"/>
            <w:sz w:val="28"/>
            <w:szCs w:val="28"/>
            <w:u w:val="single"/>
          </w:rPr>
          <w:t>186</w:t>
        </w:r>
      </w:hyperlink>
      <w:r w:rsidRPr="00C04F24">
        <w:rPr>
          <w:rFonts w:ascii="Times New Roman" w:eastAsia="Calibri" w:hAnsi="Times New Roman" w:cs="Times New Roman"/>
          <w:sz w:val="28"/>
          <w:szCs w:val="28"/>
        </w:rPr>
        <w:t xml:space="preserve">. – Загл.с экрана.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Assessment of COVID-19 in primary care, SIGN, 3 February, 2021. </w:t>
      </w:r>
      <w:r w:rsidRPr="00C04F24">
        <w:rPr>
          <w:rFonts w:ascii="Times New Roman" w:eastAsia="Calibri" w:hAnsi="Times New Roman" w:cs="Times New Roman"/>
          <w:sz w:val="28"/>
          <w:szCs w:val="28"/>
        </w:rPr>
        <w:t xml:space="preserve">[Электронный ресурс]. – Режим доступа: </w:t>
      </w:r>
      <w:hyperlink r:id="rId59"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sign</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ac</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uk</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our</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guidelines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assessment</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of</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covid</w:t>
        </w:r>
        <w:r w:rsidRPr="00C04F24">
          <w:rPr>
            <w:rFonts w:ascii="Times New Roman" w:eastAsia="Calibri" w:hAnsi="Times New Roman" w:cs="Times New Roman"/>
            <w:color w:val="0563C1" w:themeColor="hyperlink"/>
            <w:sz w:val="28"/>
            <w:szCs w:val="28"/>
            <w:u w:val="single"/>
          </w:rPr>
          <w:t>-19-</w:t>
        </w:r>
        <w:r w:rsidRPr="00C04F24">
          <w:rPr>
            <w:rFonts w:ascii="Times New Roman" w:eastAsia="Calibri" w:hAnsi="Times New Roman" w:cs="Times New Roman"/>
            <w:color w:val="0563C1" w:themeColor="hyperlink"/>
            <w:sz w:val="28"/>
            <w:szCs w:val="28"/>
            <w:u w:val="single"/>
            <w:lang w:val="en-US"/>
          </w:rPr>
          <w:t>in</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primary</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care</w:t>
        </w:r>
        <w:r w:rsidRPr="00C04F24">
          <w:rPr>
            <w:rFonts w:ascii="Times New Roman" w:eastAsia="Calibri" w:hAnsi="Times New Roman" w:cs="Times New Roman"/>
            <w:color w:val="0563C1" w:themeColor="hyperlink"/>
            <w:sz w:val="28"/>
            <w:szCs w:val="28"/>
            <w:u w:val="single"/>
          </w:rPr>
          <w:t>/</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Managing the long-term effects of COVID-19, SIGN, 18.12.2020. </w:t>
      </w:r>
      <w:r w:rsidRPr="00C04F24">
        <w:rPr>
          <w:rFonts w:ascii="Times New Roman" w:eastAsia="Calibri" w:hAnsi="Times New Roman" w:cs="Times New Roman"/>
          <w:sz w:val="28"/>
          <w:szCs w:val="28"/>
        </w:rPr>
        <w:t xml:space="preserve">[Электронный ресурс]. – Режим доступа: </w:t>
      </w:r>
      <w:hyperlink r:id="rId60"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sign</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ac</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uk</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our</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guidelines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managing</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the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long</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term</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effects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of</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covid</w:t>
        </w:r>
        <w:r w:rsidRPr="00C04F24">
          <w:rPr>
            <w:rFonts w:ascii="Times New Roman" w:eastAsia="Calibri" w:hAnsi="Times New Roman" w:cs="Times New Roman"/>
            <w:color w:val="0563C1" w:themeColor="hyperlink"/>
            <w:sz w:val="28"/>
            <w:szCs w:val="28"/>
            <w:u w:val="single"/>
          </w:rPr>
          <w:t>-19/</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COVID-19 position statement: The prevention and management of thromboembolism in hospitalised patients with COVID-19-related disease, SIGN, 20.07.2020. </w:t>
      </w:r>
      <w:r w:rsidRPr="00C04F24">
        <w:rPr>
          <w:rFonts w:ascii="Times New Roman" w:eastAsia="Calibri" w:hAnsi="Times New Roman" w:cs="Times New Roman"/>
          <w:sz w:val="28"/>
          <w:szCs w:val="28"/>
        </w:rPr>
        <w:t xml:space="preserve">[Электронный ресурс]. – Режим доступа: </w:t>
      </w:r>
      <w:hyperlink r:id="rId61"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sign</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ac</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uk</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media</w:t>
        </w:r>
        <w:r w:rsidRPr="00C04F24">
          <w:rPr>
            <w:rFonts w:ascii="Times New Roman" w:eastAsia="Calibri" w:hAnsi="Times New Roman" w:cs="Times New Roman"/>
            <w:color w:val="0563C1" w:themeColor="hyperlink"/>
            <w:sz w:val="28"/>
            <w:szCs w:val="28"/>
            <w:u w:val="single"/>
          </w:rPr>
          <w:t>/1691/</w:t>
        </w:r>
        <w:r w:rsidRPr="00C04F24">
          <w:rPr>
            <w:rFonts w:ascii="Times New Roman" w:eastAsia="Calibri" w:hAnsi="Times New Roman" w:cs="Times New Roman"/>
            <w:color w:val="0563C1" w:themeColor="hyperlink"/>
            <w:sz w:val="28"/>
            <w:szCs w:val="28"/>
            <w:u w:val="single"/>
            <w:lang w:val="en-US"/>
          </w:rPr>
          <w:t>sg</w:t>
        </w:r>
        <w:r w:rsidRPr="00C04F24">
          <w:rPr>
            <w:rFonts w:ascii="Times New Roman" w:eastAsia="Calibri" w:hAnsi="Times New Roman" w:cs="Times New Roman"/>
            <w:color w:val="0563C1" w:themeColor="hyperlink"/>
            <w:sz w:val="28"/>
            <w:szCs w:val="28"/>
            <w:u w:val="single"/>
          </w:rPr>
          <w:t>_</w:t>
        </w:r>
        <w:r w:rsidRPr="00C04F24">
          <w:rPr>
            <w:rFonts w:ascii="Times New Roman" w:eastAsia="Calibri" w:hAnsi="Times New Roman" w:cs="Times New Roman"/>
            <w:color w:val="0563C1" w:themeColor="hyperlink"/>
            <w:sz w:val="28"/>
            <w:szCs w:val="28"/>
            <w:u w:val="single"/>
            <w:lang w:val="en-US"/>
          </w:rPr>
          <w:t>prevention</w:t>
        </w:r>
        <w:r w:rsidRPr="00C04F24">
          <w:rPr>
            <w:rFonts w:ascii="Times New Roman" w:eastAsia="Calibri" w:hAnsi="Times New Roman" w:cs="Times New Roman"/>
            <w:color w:val="0563C1" w:themeColor="hyperlink"/>
            <w:sz w:val="28"/>
            <w:szCs w:val="28"/>
            <w:u w:val="single"/>
          </w:rPr>
          <w:t>_</w:t>
        </w:r>
        <w:r w:rsidRPr="00C04F24">
          <w:rPr>
            <w:rFonts w:ascii="Times New Roman" w:eastAsia="Calibri" w:hAnsi="Times New Roman" w:cs="Times New Roman"/>
            <w:color w:val="0563C1" w:themeColor="hyperlink"/>
            <w:sz w:val="28"/>
            <w:szCs w:val="28"/>
            <w:u w:val="single"/>
            <w:lang w:val="en-US"/>
          </w:rPr>
          <w:t>of</w:t>
        </w:r>
        <w:r w:rsidRPr="00C04F24">
          <w:rPr>
            <w:rFonts w:ascii="Times New Roman" w:eastAsia="Calibri" w:hAnsi="Times New Roman" w:cs="Times New Roman"/>
            <w:color w:val="0563C1" w:themeColor="hyperlink"/>
            <w:sz w:val="28"/>
            <w:szCs w:val="28"/>
            <w:u w:val="single"/>
          </w:rPr>
          <w:t>_</w:t>
        </w:r>
        <w:r w:rsidRPr="00C04F24">
          <w:rPr>
            <w:rFonts w:ascii="Times New Roman" w:eastAsia="Calibri" w:hAnsi="Times New Roman" w:cs="Times New Roman"/>
            <w:color w:val="0563C1" w:themeColor="hyperlink"/>
            <w:sz w:val="28"/>
            <w:szCs w:val="28"/>
            <w:u w:val="single"/>
            <w:lang w:val="en-US"/>
          </w:rPr>
          <w:t>thromboembolism</w:t>
        </w:r>
        <w:r w:rsidRPr="00C04F24">
          <w:rPr>
            <w:rFonts w:ascii="Times New Roman" w:eastAsia="Calibri" w:hAnsi="Times New Roman" w:cs="Times New Roman"/>
            <w:color w:val="0563C1" w:themeColor="hyperlink"/>
            <w:sz w:val="28"/>
            <w:szCs w:val="28"/>
            <w:u w:val="single"/>
          </w:rPr>
          <w:t>_</w:t>
        </w:r>
        <w:r w:rsidRPr="00C04F24">
          <w:rPr>
            <w:rFonts w:ascii="Times New Roman" w:eastAsia="Calibri" w:hAnsi="Times New Roman" w:cs="Times New Roman"/>
            <w:color w:val="0563C1" w:themeColor="hyperlink"/>
            <w:sz w:val="28"/>
            <w:szCs w:val="28"/>
            <w:u w:val="single"/>
            <w:lang w:val="en-US"/>
          </w:rPr>
          <w:t>in</w:t>
        </w:r>
        <w:r w:rsidRPr="00C04F24">
          <w:rPr>
            <w:rFonts w:ascii="Times New Roman" w:eastAsia="Calibri" w:hAnsi="Times New Roman" w:cs="Times New Roman"/>
            <w:color w:val="0563C1" w:themeColor="hyperlink"/>
            <w:sz w:val="28"/>
            <w:szCs w:val="28"/>
            <w:u w:val="single"/>
          </w:rPr>
          <w:t>_</w:t>
        </w:r>
        <w:r w:rsidRPr="00C04F24">
          <w:rPr>
            <w:rFonts w:ascii="Times New Roman" w:eastAsia="Calibri" w:hAnsi="Times New Roman" w:cs="Times New Roman"/>
            <w:color w:val="0563C1" w:themeColor="hyperlink"/>
            <w:sz w:val="28"/>
            <w:szCs w:val="28"/>
            <w:u w:val="single"/>
            <w:lang w:val="en-US"/>
          </w:rPr>
          <w:t>hospitalised</w:t>
        </w:r>
        <w:r w:rsidRPr="00C04F24">
          <w:rPr>
            <w:rFonts w:ascii="Times New Roman" w:eastAsia="Calibri" w:hAnsi="Times New Roman" w:cs="Times New Roman"/>
            <w:color w:val="0563C1" w:themeColor="hyperlink"/>
            <w:sz w:val="28"/>
            <w:szCs w:val="28"/>
            <w:u w:val="single"/>
          </w:rPr>
          <w:t>_</w:t>
        </w:r>
        <w:r w:rsidRPr="00C04F24">
          <w:rPr>
            <w:rFonts w:ascii="Times New Roman" w:eastAsia="Calibri" w:hAnsi="Times New Roman" w:cs="Times New Roman"/>
            <w:color w:val="0563C1" w:themeColor="hyperlink"/>
            <w:sz w:val="28"/>
            <w:szCs w:val="28"/>
            <w:u w:val="single"/>
            <w:lang w:val="en-US"/>
          </w:rPr>
          <w:t>patients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pdf</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Guideline: Management of Multisystem Inflammatory Syndrome in Children, INPATIENT, 11.12.2020. </w:t>
      </w:r>
      <w:r w:rsidRPr="00C04F24">
        <w:rPr>
          <w:rFonts w:ascii="Times New Roman" w:eastAsia="Calibri" w:hAnsi="Times New Roman" w:cs="Times New Roman"/>
          <w:sz w:val="28"/>
          <w:szCs w:val="28"/>
        </w:rPr>
        <w:t xml:space="preserve">[Электронный ресурс]. – Режим доступа: </w:t>
      </w:r>
      <w:hyperlink r:id="rId62"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pubmed</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ncbi</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nlm</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nih</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gov</w:t>
        </w:r>
        <w:r w:rsidRPr="00C04F24">
          <w:rPr>
            <w:rFonts w:ascii="Times New Roman" w:eastAsia="Calibri" w:hAnsi="Times New Roman" w:cs="Times New Roman"/>
            <w:color w:val="0563C1" w:themeColor="hyperlink"/>
            <w:sz w:val="28"/>
            <w:szCs w:val="28"/>
            <w:u w:val="single"/>
          </w:rPr>
          <w:t>/35118829/</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Clinical Guidance for Pediatric Patients with Multisystem Inflammatory Syndrome in Children (MIS-C) Associated with SARS-CoV-2 and Hyperinflammation in COVID-19. Version</w:t>
      </w:r>
      <w:r w:rsidRPr="00C04F24">
        <w:rPr>
          <w:rFonts w:ascii="Times New Roman" w:eastAsia="Calibri" w:hAnsi="Times New Roman" w:cs="Times New Roman"/>
          <w:sz w:val="28"/>
          <w:szCs w:val="28"/>
        </w:rPr>
        <w:t xml:space="preserve"> 1., 17.06.2020. [Электронный ресурс]. – Режим доступа:</w:t>
      </w:r>
      <w:hyperlink r:id="rId63"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ahpnetwork</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com</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wp</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content</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uploads</w:t>
        </w:r>
        <w:r w:rsidRPr="00C04F24">
          <w:rPr>
            <w:rFonts w:ascii="Times New Roman" w:eastAsia="Calibri" w:hAnsi="Times New Roman" w:cs="Times New Roman"/>
            <w:color w:val="0563C1" w:themeColor="hyperlink"/>
            <w:sz w:val="28"/>
            <w:szCs w:val="28"/>
            <w:u w:val="single"/>
          </w:rPr>
          <w:t>/2021/01/</w:t>
        </w:r>
        <w:r w:rsidRPr="00C04F24">
          <w:rPr>
            <w:rFonts w:ascii="Times New Roman" w:eastAsia="Calibri" w:hAnsi="Times New Roman" w:cs="Times New Roman"/>
            <w:color w:val="0563C1" w:themeColor="hyperlink"/>
            <w:sz w:val="28"/>
            <w:szCs w:val="28"/>
            <w:u w:val="single"/>
            <w:lang w:val="en-US"/>
          </w:rPr>
          <w:t>Brief</w:t>
        </w:r>
        <w:r w:rsidRPr="00C04F24">
          <w:rPr>
            <w:rFonts w:ascii="Times New Roman" w:eastAsia="Calibri" w:hAnsi="Times New Roman" w:cs="Times New Roman"/>
            <w:color w:val="0563C1" w:themeColor="hyperlink"/>
            <w:sz w:val="28"/>
            <w:szCs w:val="28"/>
            <w:u w:val="single"/>
          </w:rPr>
          <w:t>_</w:t>
        </w:r>
        <w:r w:rsidRPr="00C04F24">
          <w:rPr>
            <w:rFonts w:ascii="Times New Roman" w:eastAsia="Calibri" w:hAnsi="Times New Roman" w:cs="Times New Roman"/>
            <w:color w:val="0563C1" w:themeColor="hyperlink"/>
            <w:sz w:val="28"/>
            <w:szCs w:val="28"/>
            <w:u w:val="single"/>
            <w:lang w:val="en-US"/>
          </w:rPr>
          <w:t>Am</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Coll</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Rheum</w:t>
        </w:r>
        <w:r w:rsidRPr="00C04F24">
          <w:rPr>
            <w:rFonts w:ascii="Times New Roman" w:eastAsia="Calibri" w:hAnsi="Times New Roman" w:cs="Times New Roman"/>
            <w:color w:val="0563C1" w:themeColor="hyperlink"/>
            <w:sz w:val="28"/>
            <w:szCs w:val="28"/>
            <w:u w:val="single"/>
          </w:rPr>
          <w:t>_</w:t>
        </w:r>
        <w:r w:rsidRPr="00C04F24">
          <w:rPr>
            <w:rFonts w:ascii="Times New Roman" w:eastAsia="Calibri" w:hAnsi="Times New Roman" w:cs="Times New Roman"/>
            <w:color w:val="0563C1" w:themeColor="hyperlink"/>
            <w:sz w:val="28"/>
            <w:szCs w:val="28"/>
            <w:u w:val="single"/>
            <w:lang w:val="en-US"/>
          </w:rPr>
          <w:t>MIS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guidelines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Nov</w:t>
        </w:r>
        <w:r w:rsidRPr="00C04F24">
          <w:rPr>
            <w:rFonts w:ascii="Times New Roman" w:eastAsia="Calibri" w:hAnsi="Times New Roman" w:cs="Times New Roman"/>
            <w:color w:val="0563C1" w:themeColor="hyperlink"/>
            <w:sz w:val="28"/>
            <w:szCs w:val="28"/>
            <w:u w:val="single"/>
          </w:rPr>
          <w:t>-2020.</w:t>
        </w:r>
        <w:r w:rsidRPr="00C04F24">
          <w:rPr>
            <w:rFonts w:ascii="Times New Roman" w:eastAsia="Calibri" w:hAnsi="Times New Roman" w:cs="Times New Roman"/>
            <w:color w:val="0563C1" w:themeColor="hyperlink"/>
            <w:sz w:val="28"/>
            <w:szCs w:val="28"/>
            <w:u w:val="single"/>
            <w:lang w:val="en-US"/>
          </w:rPr>
          <w:t>pdf</w:t>
        </w:r>
      </w:hyperlink>
      <w:r w:rsidRPr="00C04F24">
        <w:rPr>
          <w:rFonts w:ascii="Times New Roman" w:eastAsia="Calibri" w:hAnsi="Times New Roman" w:cs="Times New Roman"/>
          <w:sz w:val="28"/>
          <w:szCs w:val="28"/>
        </w:rPr>
        <w:t xml:space="preserve"> .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lastRenderedPageBreak/>
        <w:t xml:space="preserve">Management of coexisting conditions in the context of COVID-19, BMJ Best Practice. </w:t>
      </w:r>
      <w:r w:rsidRPr="00C04F24">
        <w:rPr>
          <w:rFonts w:ascii="Times New Roman" w:eastAsia="Calibri" w:hAnsi="Times New Roman" w:cs="Times New Roman"/>
          <w:sz w:val="28"/>
          <w:szCs w:val="28"/>
        </w:rPr>
        <w:t xml:space="preserve">[Электронный ресурс]. – Режим доступа: </w:t>
      </w:r>
      <w:hyperlink r:id="rId64" w:history="1">
        <w:r w:rsidRPr="00C04F24">
          <w:rPr>
            <w:rFonts w:ascii="Times New Roman" w:eastAsia="Calibri" w:hAnsi="Times New Roman" w:cs="Times New Roman"/>
            <w:color w:val="0563C1" w:themeColor="hyperlink"/>
            <w:sz w:val="28"/>
            <w:szCs w:val="28"/>
            <w:u w:val="single"/>
          </w:rPr>
          <w:t>https://bestpractice.bmj.com/topics/en-gb/3000190</w:t>
        </w:r>
      </w:hyperlink>
      <w:r w:rsidRPr="00C04F24">
        <w:rPr>
          <w:rFonts w:ascii="Times New Roman" w:eastAsia="Calibri" w:hAnsi="Times New Roman" w:cs="Times New Roman"/>
          <w:sz w:val="28"/>
          <w:szCs w:val="28"/>
        </w:rPr>
        <w:t xml:space="preserve">. – Загл.с экрана.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sz w:val="28"/>
          <w:szCs w:val="28"/>
          <w:lang w:val="en-US"/>
        </w:rPr>
        <w:t>COVID-19 rapid guideline: arranging planned care in hospitals and diagnostic services, NICE, 27.07.2020 [</w:t>
      </w:r>
      <w:r w:rsidRPr="00C04F24">
        <w:rPr>
          <w:rFonts w:ascii="Times New Roman" w:eastAsia="Calibri" w:hAnsi="Times New Roman" w:cs="Times New Roman"/>
          <w:sz w:val="28"/>
          <w:szCs w:val="28"/>
        </w:rPr>
        <w:t>Электронный</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ресурс</w:t>
      </w:r>
      <w:r w:rsidRPr="00C04F24">
        <w:rPr>
          <w:rFonts w:ascii="Times New Roman" w:eastAsia="Calibri" w:hAnsi="Times New Roman" w:cs="Times New Roman"/>
          <w:sz w:val="28"/>
          <w:szCs w:val="28"/>
          <w:lang w:val="en-US"/>
        </w:rPr>
        <w:t xml:space="preserve">]. – </w:t>
      </w:r>
      <w:r w:rsidRPr="00C04F24">
        <w:rPr>
          <w:rFonts w:ascii="Times New Roman" w:eastAsia="Calibri" w:hAnsi="Times New Roman" w:cs="Times New Roman"/>
          <w:sz w:val="28"/>
          <w:szCs w:val="28"/>
        </w:rPr>
        <w:t>Режим</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доступа</w:t>
      </w:r>
      <w:r w:rsidRPr="00C04F24">
        <w:rPr>
          <w:rFonts w:ascii="Times New Roman" w:eastAsia="Calibri" w:hAnsi="Times New Roman" w:cs="Times New Roman"/>
          <w:sz w:val="28"/>
          <w:szCs w:val="28"/>
          <w:lang w:val="en-US"/>
        </w:rPr>
        <w:t xml:space="preserve">:  https://www.nice.org.uk/guidance/ng179 . – </w:t>
      </w:r>
      <w:r w:rsidRPr="00C04F24">
        <w:rPr>
          <w:rFonts w:ascii="Times New Roman" w:eastAsia="Calibri" w:hAnsi="Times New Roman" w:cs="Times New Roman"/>
          <w:sz w:val="28"/>
          <w:szCs w:val="28"/>
        </w:rPr>
        <w:t>Загл</w:t>
      </w:r>
      <w:r w:rsidRPr="00C04F24">
        <w:rPr>
          <w:rFonts w:ascii="Times New Roman" w:eastAsia="Calibri" w:hAnsi="Times New Roman" w:cs="Times New Roman"/>
          <w:sz w:val="28"/>
          <w:szCs w:val="28"/>
          <w:lang w:val="en-US"/>
        </w:rPr>
        <w:t>.</w:t>
      </w:r>
      <w:r w:rsidRPr="00C04F24">
        <w:rPr>
          <w:rFonts w:ascii="Times New Roman" w:eastAsia="Calibri" w:hAnsi="Times New Roman" w:cs="Times New Roman"/>
          <w:sz w:val="28"/>
          <w:szCs w:val="28"/>
        </w:rPr>
        <w:t>с</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экрана</w:t>
      </w:r>
      <w:r w:rsidRPr="00C04F24">
        <w:rPr>
          <w:rFonts w:ascii="Times New Roman" w:eastAsia="Calibri" w:hAnsi="Times New Roman" w:cs="Times New Roman"/>
          <w:sz w:val="28"/>
          <w:szCs w:val="28"/>
          <w:lang w:val="en-US"/>
        </w:rPr>
        <w:t>.</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rPr>
        <w:t>Клиническое руководство по диагностике и лечению коронавирусной инфекции (</w:t>
      </w:r>
      <w:r w:rsidRPr="00C04F24">
        <w:rPr>
          <w:rFonts w:ascii="Times New Roman" w:eastAsia="Calibri" w:hAnsi="Times New Roman" w:cs="Times New Roman"/>
          <w:sz w:val="28"/>
          <w:szCs w:val="28"/>
          <w:lang w:val="en-US"/>
        </w:rPr>
        <w:t>COVID</w:t>
      </w:r>
      <w:r w:rsidRPr="00C04F24">
        <w:rPr>
          <w:rFonts w:ascii="Times New Roman" w:eastAsia="Calibri" w:hAnsi="Times New Roman" w:cs="Times New Roman"/>
          <w:sz w:val="28"/>
          <w:szCs w:val="28"/>
        </w:rPr>
        <w:t xml:space="preserve">-19), Версия 6 [Электронный ресурс]. – Режим доступа: </w:t>
      </w:r>
      <w:hyperlink r:id="rId65" w:history="1">
        <w:r w:rsidRPr="00C04F24">
          <w:rPr>
            <w:rFonts w:ascii="Times New Roman" w:eastAsia="Calibri" w:hAnsi="Times New Roman" w:cs="Times New Roman"/>
            <w:color w:val="0563C1" w:themeColor="hyperlink"/>
            <w:sz w:val="28"/>
            <w:szCs w:val="28"/>
            <w:u w:val="single"/>
          </w:rPr>
          <w:t>https://saksalamat.kg/wp-content/uploads/2022/01/6-ya-versiya-KR-COVID-19-zakl._13.01.22..pdf</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sz w:val="28"/>
          <w:szCs w:val="28"/>
          <w:lang w:val="en-US"/>
        </w:rPr>
        <w:t>LabCorp. Accelerated Emergency Use Authorization (EUA) Summary COVID-19 RT-PCR Test (LaboratoryCorporation of America) ; [Cited 2021 March 19].[</w:t>
      </w:r>
      <w:r w:rsidRPr="00C04F24">
        <w:rPr>
          <w:rFonts w:ascii="Times New Roman" w:eastAsia="Calibri" w:hAnsi="Times New Roman" w:cs="Times New Roman"/>
          <w:sz w:val="28"/>
          <w:szCs w:val="28"/>
        </w:rPr>
        <w:t>Электронный</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ресурс</w:t>
      </w:r>
      <w:r w:rsidRPr="00C04F24">
        <w:rPr>
          <w:rFonts w:ascii="Times New Roman" w:eastAsia="Calibri" w:hAnsi="Times New Roman" w:cs="Times New Roman"/>
          <w:sz w:val="28"/>
          <w:szCs w:val="28"/>
          <w:lang w:val="en-US"/>
        </w:rPr>
        <w:t xml:space="preserve">]. – </w:t>
      </w:r>
      <w:r w:rsidRPr="00C04F24">
        <w:rPr>
          <w:rFonts w:ascii="Times New Roman" w:eastAsia="Calibri" w:hAnsi="Times New Roman" w:cs="Times New Roman"/>
          <w:sz w:val="28"/>
          <w:szCs w:val="28"/>
        </w:rPr>
        <w:t>Режим</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доступа</w:t>
      </w:r>
      <w:r w:rsidRPr="00C04F24">
        <w:rPr>
          <w:rFonts w:ascii="Times New Roman" w:eastAsia="Calibri" w:hAnsi="Times New Roman" w:cs="Times New Roman"/>
          <w:sz w:val="28"/>
          <w:szCs w:val="28"/>
          <w:lang w:val="en-US"/>
        </w:rPr>
        <w:t xml:space="preserve">: </w:t>
      </w:r>
      <w:hyperlink r:id="rId66" w:history="1">
        <w:r w:rsidRPr="00C04F24">
          <w:rPr>
            <w:rFonts w:ascii="Times New Roman" w:eastAsia="Calibri" w:hAnsi="Times New Roman" w:cs="Times New Roman"/>
            <w:color w:val="0563C1" w:themeColor="hyperlink"/>
            <w:sz w:val="28"/>
            <w:szCs w:val="28"/>
            <w:u w:val="single"/>
            <w:lang w:val="en-US"/>
          </w:rPr>
          <w:t>https://www.fda.gov/media/136151/download</w:t>
        </w:r>
      </w:hyperlink>
      <w:r w:rsidRPr="00C04F24">
        <w:rPr>
          <w:rFonts w:ascii="Times New Roman" w:eastAsia="Calibri" w:hAnsi="Times New Roman" w:cs="Times New Roman"/>
          <w:sz w:val="28"/>
          <w:szCs w:val="28"/>
          <w:lang w:val="en-US"/>
        </w:rPr>
        <w:t xml:space="preserve">. – </w:t>
      </w:r>
      <w:r w:rsidRPr="00C04F24">
        <w:rPr>
          <w:rFonts w:ascii="Times New Roman" w:eastAsia="Calibri" w:hAnsi="Times New Roman" w:cs="Times New Roman"/>
          <w:sz w:val="28"/>
          <w:szCs w:val="28"/>
        </w:rPr>
        <w:t>Загл</w:t>
      </w:r>
      <w:r w:rsidRPr="00C04F24">
        <w:rPr>
          <w:rFonts w:ascii="Times New Roman" w:eastAsia="Calibri" w:hAnsi="Times New Roman" w:cs="Times New Roman"/>
          <w:sz w:val="28"/>
          <w:szCs w:val="28"/>
          <w:lang w:val="en-US"/>
        </w:rPr>
        <w:t>.</w:t>
      </w:r>
      <w:r w:rsidRPr="00C04F24">
        <w:rPr>
          <w:rFonts w:ascii="Times New Roman" w:eastAsia="Calibri" w:hAnsi="Times New Roman" w:cs="Times New Roman"/>
          <w:sz w:val="28"/>
          <w:szCs w:val="28"/>
        </w:rPr>
        <w:t>с</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экрана</w:t>
      </w:r>
      <w:r w:rsidRPr="00C04F24">
        <w:rPr>
          <w:rFonts w:ascii="Times New Roman" w:eastAsia="Calibri" w:hAnsi="Times New Roman" w:cs="Times New Roman"/>
          <w:sz w:val="28"/>
          <w:szCs w:val="28"/>
          <w:lang w:val="en-US"/>
        </w:rPr>
        <w:t>.</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Bustin, S.A.</w:t>
      </w:r>
      <w:r w:rsidRPr="00C04F24">
        <w:rPr>
          <w:rFonts w:ascii="Times New Roman" w:eastAsia="Calibri" w:hAnsi="Times New Roman" w:cs="Times New Roman"/>
          <w:sz w:val="28"/>
          <w:szCs w:val="28"/>
          <w:lang w:val="en-US"/>
        </w:rPr>
        <w:t xml:space="preserve"> Real-time reverse transcription PCR (qRT-PCR) and its potential use in clinical diagnosis [Text] / S.A. Bustin, R.Mueller // Clin Sci (Lond). - 2005. Vol.109(4). – P.365–379.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Tang, Y.W.</w:t>
      </w:r>
      <w:r w:rsidRPr="00C04F24">
        <w:rPr>
          <w:rFonts w:ascii="Times New Roman" w:eastAsia="Calibri" w:hAnsi="Times New Roman" w:cs="Times New Roman"/>
          <w:sz w:val="28"/>
          <w:szCs w:val="28"/>
          <w:lang w:val="en-US"/>
        </w:rPr>
        <w:t xml:space="preserve"> Laboratory Diagnosis of COVID-19: current Issues and Challenges [Text] / Y.W.Tang, J.E.Schmitz, D.H. Persing et al. // J ClinMicrobiol. – 2020. – Vol.58(6). – P.e00512–e00520.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Peeling, R.W.</w:t>
      </w:r>
      <w:r w:rsidRPr="00C04F24">
        <w:rPr>
          <w:rFonts w:ascii="Times New Roman" w:eastAsia="Calibri" w:hAnsi="Times New Roman" w:cs="Times New Roman"/>
          <w:sz w:val="28"/>
          <w:szCs w:val="28"/>
          <w:lang w:val="en-US"/>
        </w:rPr>
        <w:t xml:space="preserve"> Serology testing in the COVID-19 pandemic response 6 [Text] / R.W.Peeling, C.J.Wedderburn, P.J.Garcia et al. //  Lancet Infect Dis. – 2020. – Vol.20(9). – P.e245–e249.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Anawa Biomedical Services and Products. SARS-CoV-2 (Covid-19): Diagnosis by IgG/IgM Rapid Test . </w:t>
      </w:r>
      <w:r w:rsidRPr="00C04F24">
        <w:rPr>
          <w:rFonts w:ascii="Times New Roman" w:eastAsia="Calibri" w:hAnsi="Times New Roman" w:cs="Times New Roman"/>
          <w:sz w:val="28"/>
          <w:szCs w:val="28"/>
        </w:rPr>
        <w:t>[</w:t>
      </w:r>
      <w:r w:rsidRPr="00C04F24">
        <w:rPr>
          <w:rFonts w:ascii="Times New Roman" w:eastAsia="Calibri" w:hAnsi="Times New Roman" w:cs="Times New Roman"/>
          <w:sz w:val="28"/>
          <w:szCs w:val="28"/>
          <w:lang w:val="en-US"/>
        </w:rPr>
        <w:t>Cited</w:t>
      </w:r>
      <w:r w:rsidRPr="00C04F24">
        <w:rPr>
          <w:rFonts w:ascii="Times New Roman" w:eastAsia="Calibri" w:hAnsi="Times New Roman" w:cs="Times New Roman"/>
          <w:sz w:val="28"/>
          <w:szCs w:val="28"/>
        </w:rPr>
        <w:t xml:space="preserve"> 2021</w:t>
      </w:r>
      <w:r w:rsidRPr="00C04F24">
        <w:rPr>
          <w:rFonts w:ascii="Times New Roman" w:eastAsia="Calibri" w:hAnsi="Times New Roman" w:cs="Times New Roman"/>
          <w:sz w:val="28"/>
          <w:szCs w:val="28"/>
          <w:lang w:val="en-US"/>
        </w:rPr>
        <w:t>March</w:t>
      </w:r>
      <w:r w:rsidRPr="00C04F24">
        <w:rPr>
          <w:rFonts w:ascii="Times New Roman" w:eastAsia="Calibri" w:hAnsi="Times New Roman" w:cs="Times New Roman"/>
          <w:sz w:val="28"/>
          <w:szCs w:val="28"/>
        </w:rPr>
        <w:t xml:space="preserve"> 19]. 6 [Электронный ресурс]. – Режим доступа: </w:t>
      </w:r>
      <w:hyperlink r:id="rId67"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anawa</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ch</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read</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newsletter</w:t>
        </w:r>
        <w:r w:rsidRPr="00C04F24">
          <w:rPr>
            <w:rFonts w:ascii="Times New Roman" w:eastAsia="Calibri" w:hAnsi="Times New Roman" w:cs="Times New Roman"/>
            <w:color w:val="0563C1" w:themeColor="hyperlink"/>
            <w:sz w:val="28"/>
            <w:szCs w:val="28"/>
            <w:u w:val="single"/>
          </w:rPr>
          <w:t>-26/</w:t>
        </w:r>
        <w:r w:rsidRPr="00C04F24">
          <w:rPr>
            <w:rFonts w:ascii="Times New Roman" w:eastAsia="Calibri" w:hAnsi="Times New Roman" w:cs="Times New Roman"/>
            <w:color w:val="0563C1" w:themeColor="hyperlink"/>
            <w:sz w:val="28"/>
            <w:szCs w:val="28"/>
            <w:u w:val="single"/>
            <w:lang w:val="en-US"/>
          </w:rPr>
          <w:t>sars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cov</w:t>
        </w:r>
        <w:r w:rsidRPr="00C04F24">
          <w:rPr>
            <w:rFonts w:ascii="Times New Roman" w:eastAsia="Calibri" w:hAnsi="Times New Roman" w:cs="Times New Roman"/>
            <w:color w:val="0563C1" w:themeColor="hyperlink"/>
            <w:sz w:val="28"/>
            <w:szCs w:val="28"/>
            <w:u w:val="single"/>
          </w:rPr>
          <w:t>-2-</w:t>
        </w:r>
        <w:r w:rsidRPr="00C04F24">
          <w:rPr>
            <w:rFonts w:ascii="Times New Roman" w:eastAsia="Calibri" w:hAnsi="Times New Roman" w:cs="Times New Roman"/>
            <w:color w:val="0563C1" w:themeColor="hyperlink"/>
            <w:sz w:val="28"/>
            <w:szCs w:val="28"/>
            <w:u w:val="single"/>
            <w:lang w:val="en-US"/>
          </w:rPr>
          <w:t>covid</w:t>
        </w:r>
        <w:r w:rsidRPr="00C04F24">
          <w:rPr>
            <w:rFonts w:ascii="Times New Roman" w:eastAsia="Calibri" w:hAnsi="Times New Roman" w:cs="Times New Roman"/>
            <w:color w:val="0563C1" w:themeColor="hyperlink"/>
            <w:sz w:val="28"/>
            <w:szCs w:val="28"/>
            <w:u w:val="single"/>
          </w:rPr>
          <w:t>-19-</w:t>
        </w:r>
        <w:r w:rsidRPr="00C04F24">
          <w:rPr>
            <w:rFonts w:ascii="Times New Roman" w:eastAsia="Calibri" w:hAnsi="Times New Roman" w:cs="Times New Roman"/>
            <w:color w:val="0563C1" w:themeColor="hyperlink"/>
            <w:sz w:val="28"/>
            <w:szCs w:val="28"/>
            <w:u w:val="single"/>
            <w:lang w:val="en-US"/>
          </w:rPr>
          <w:t>diagnosis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by</w:t>
        </w:r>
        <w:r w:rsidRPr="00C04F24">
          <w:rPr>
            <w:rFonts w:ascii="Times New Roman" w:eastAsia="Calibri" w:hAnsi="Times New Roman" w:cs="Times New Roman"/>
            <w:color w:val="0563C1" w:themeColor="hyperlink"/>
            <w:sz w:val="28"/>
            <w:szCs w:val="28"/>
            <w:u w:val="single"/>
          </w:rPr>
          <w:t>-2264.</w:t>
        </w:r>
        <w:r w:rsidRPr="00C04F24">
          <w:rPr>
            <w:rFonts w:ascii="Times New Roman" w:eastAsia="Calibri" w:hAnsi="Times New Roman" w:cs="Times New Roman"/>
            <w:color w:val="0563C1" w:themeColor="hyperlink"/>
            <w:sz w:val="28"/>
            <w:szCs w:val="28"/>
            <w:u w:val="single"/>
            <w:lang w:val="en-US"/>
          </w:rPr>
          <w:t>html</w:t>
        </w:r>
      </w:hyperlink>
      <w:r w:rsidRPr="00C04F24">
        <w:rPr>
          <w:rFonts w:ascii="Times New Roman" w:eastAsia="Calibri" w:hAnsi="Times New Roman" w:cs="Times New Roman"/>
          <w:color w:val="0563C1" w:themeColor="hyperlink"/>
          <w:sz w:val="28"/>
          <w:szCs w:val="28"/>
          <w:u w:val="single"/>
        </w:rPr>
        <w:t xml:space="preserve"> </w:t>
      </w:r>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Freeman, B. </w:t>
      </w:r>
      <w:r w:rsidRPr="00C04F24">
        <w:rPr>
          <w:rFonts w:ascii="Times New Roman" w:eastAsia="Calibri" w:hAnsi="Times New Roman" w:cs="Times New Roman"/>
          <w:sz w:val="28"/>
          <w:szCs w:val="28"/>
          <w:lang w:val="en-US"/>
        </w:rPr>
        <w:t>Validation of a SARS-CoV-2 spike protein ELISA for use in contact investigationsand sero-surveillance [Text] / B. Freeman, S. Lester, L.Mills // Thornburg bioRxiv. – 2020. – Vol.04.24. – P.057323.</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lastRenderedPageBreak/>
        <w:t>COVID-19 rapid guideline: chronic kidney disease, NICE, 15.05.2020 [</w:t>
      </w:r>
      <w:r w:rsidRPr="00C04F24">
        <w:rPr>
          <w:rFonts w:ascii="Times New Roman" w:eastAsia="Calibri" w:hAnsi="Times New Roman" w:cs="Times New Roman"/>
          <w:sz w:val="28"/>
          <w:szCs w:val="28"/>
        </w:rPr>
        <w:t>Электронный</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ресурс</w:t>
      </w:r>
      <w:r w:rsidRPr="00C04F24">
        <w:rPr>
          <w:rFonts w:ascii="Times New Roman" w:eastAsia="Calibri" w:hAnsi="Times New Roman" w:cs="Times New Roman"/>
          <w:sz w:val="28"/>
          <w:szCs w:val="28"/>
          <w:lang w:val="en-US"/>
        </w:rPr>
        <w:t xml:space="preserve">]. – </w:t>
      </w:r>
      <w:r w:rsidRPr="00C04F24">
        <w:rPr>
          <w:rFonts w:ascii="Times New Roman" w:eastAsia="Calibri" w:hAnsi="Times New Roman" w:cs="Times New Roman"/>
          <w:sz w:val="28"/>
          <w:szCs w:val="28"/>
        </w:rPr>
        <w:t>Режим</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доступа</w:t>
      </w:r>
      <w:r w:rsidRPr="00C04F24">
        <w:rPr>
          <w:rFonts w:ascii="Times New Roman" w:eastAsia="Calibri" w:hAnsi="Times New Roman" w:cs="Times New Roman"/>
          <w:sz w:val="28"/>
          <w:szCs w:val="28"/>
          <w:lang w:val="en-US"/>
        </w:rPr>
        <w:t>:.</w:t>
      </w:r>
      <w:r w:rsidRPr="00C04F24">
        <w:rPr>
          <w:rFonts w:ascii="Calibri" w:eastAsia="Calibri" w:hAnsi="Calibri" w:cs="Times New Roman"/>
          <w:lang w:val="en-US"/>
        </w:rPr>
        <w:t xml:space="preserve"> </w:t>
      </w:r>
      <w:hyperlink r:id="rId68"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nice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org</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uk</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guidance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ng</w:t>
        </w:r>
        <w:r w:rsidRPr="00C04F24">
          <w:rPr>
            <w:rFonts w:ascii="Times New Roman" w:eastAsia="Calibri" w:hAnsi="Times New Roman" w:cs="Times New Roman"/>
            <w:color w:val="0563C1" w:themeColor="hyperlink"/>
            <w:sz w:val="28"/>
            <w:szCs w:val="28"/>
            <w:u w:val="single"/>
          </w:rPr>
          <w:t>176/</w:t>
        </w:r>
      </w:hyperlink>
      <w:r w:rsidRPr="00C04F24">
        <w:rPr>
          <w:rFonts w:ascii="Times New Roman" w:eastAsia="Calibri" w:hAnsi="Times New Roman" w:cs="Times New Roman"/>
          <w:sz w:val="28"/>
          <w:szCs w:val="28"/>
        </w:rPr>
        <w:t xml:space="preserve">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COVID-19 rapid guideline: community-based care of patients with chronic obstructive pulmonary disease (COPD), NICE, 09.04.2020. </w:t>
      </w:r>
      <w:r w:rsidRPr="00C04F24">
        <w:rPr>
          <w:rFonts w:ascii="Times New Roman" w:eastAsia="Calibri" w:hAnsi="Times New Roman" w:cs="Times New Roman"/>
          <w:sz w:val="28"/>
          <w:szCs w:val="28"/>
        </w:rPr>
        <w:t xml:space="preserve">[Электронный ресурс]. – Режим доступа: </w:t>
      </w:r>
      <w:hyperlink r:id="rId69" w:history="1">
        <w:r w:rsidRPr="00C04F24">
          <w:rPr>
            <w:rFonts w:ascii="Times New Roman" w:eastAsia="Calibri" w:hAnsi="Times New Roman" w:cs="Times New Roman"/>
            <w:color w:val="0563C1" w:themeColor="hyperlink"/>
            <w:sz w:val="28"/>
            <w:szCs w:val="28"/>
            <w:u w:val="single"/>
          </w:rPr>
          <w:t>https://www.nice.org.uk/guidance/ng168</w:t>
        </w:r>
      </w:hyperlink>
      <w:r w:rsidRPr="00C04F24">
        <w:rPr>
          <w:rFonts w:ascii="Times New Roman" w:eastAsia="Calibri" w:hAnsi="Times New Roman" w:cs="Times New Roman"/>
          <w:sz w:val="28"/>
          <w:szCs w:val="28"/>
        </w:rPr>
        <w:t xml:space="preserve">. – Загл.с экрана.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COVID-19 rapid guideline: rheumatological autoimmune, inflammatory and metabolic bone disorders, NICE, 02.07.2020. </w:t>
      </w:r>
      <w:r w:rsidRPr="00C04F24">
        <w:rPr>
          <w:rFonts w:ascii="Times New Roman" w:eastAsia="Calibri" w:hAnsi="Times New Roman" w:cs="Times New Roman"/>
          <w:sz w:val="28"/>
          <w:szCs w:val="28"/>
        </w:rPr>
        <w:t xml:space="preserve">[Электронный ресурс]. – Режим доступа: </w:t>
      </w:r>
      <w:r w:rsidRPr="00C04F24">
        <w:rPr>
          <w:rFonts w:ascii="Calibri" w:eastAsia="Calibri" w:hAnsi="Calibri" w:cs="Times New Roman"/>
        </w:rPr>
        <w:t xml:space="preserve"> </w:t>
      </w:r>
      <w:hyperlink r:id="rId70"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nice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org</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uk</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guidance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ng</w:t>
        </w:r>
        <w:r w:rsidRPr="00C04F24">
          <w:rPr>
            <w:rFonts w:ascii="Times New Roman" w:eastAsia="Calibri" w:hAnsi="Times New Roman" w:cs="Times New Roman"/>
            <w:color w:val="0563C1" w:themeColor="hyperlink"/>
            <w:sz w:val="28"/>
            <w:szCs w:val="28"/>
            <w:u w:val="single"/>
          </w:rPr>
          <w:t>167</w:t>
        </w:r>
      </w:hyperlink>
      <w:r w:rsidRPr="00C04F24">
        <w:rPr>
          <w:rFonts w:ascii="Times New Roman" w:eastAsia="Calibri" w:hAnsi="Times New Roman" w:cs="Times New Roman"/>
          <w:sz w:val="28"/>
          <w:szCs w:val="28"/>
        </w:rPr>
        <w:t xml:space="preserve">. – Загл.с экрана.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COVID-19 rapid guideline: severe asthma, NICE, 03.04.2020. </w:t>
      </w:r>
      <w:r w:rsidRPr="00C04F24">
        <w:rPr>
          <w:rFonts w:ascii="Times New Roman" w:eastAsia="Calibri" w:hAnsi="Times New Roman" w:cs="Times New Roman"/>
          <w:sz w:val="28"/>
          <w:szCs w:val="28"/>
        </w:rPr>
        <w:t xml:space="preserve">[Электронный ресурс]. – Режим доступа: </w:t>
      </w:r>
      <w:r w:rsidRPr="00C04F24">
        <w:rPr>
          <w:rFonts w:ascii="Calibri" w:eastAsia="Calibri" w:hAnsi="Calibri" w:cs="Times New Roman"/>
        </w:rPr>
        <w:t xml:space="preserve"> </w:t>
      </w:r>
      <w:hyperlink r:id="rId71"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nice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org</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uk</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guidance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ng</w:t>
        </w:r>
        <w:r w:rsidRPr="00C04F24">
          <w:rPr>
            <w:rFonts w:ascii="Times New Roman" w:eastAsia="Calibri" w:hAnsi="Times New Roman" w:cs="Times New Roman"/>
            <w:color w:val="0563C1" w:themeColor="hyperlink"/>
            <w:sz w:val="28"/>
            <w:szCs w:val="28"/>
            <w:u w:val="single"/>
          </w:rPr>
          <w:t>166</w:t>
        </w:r>
      </w:hyperlink>
      <w:r w:rsidRPr="00C04F24">
        <w:rPr>
          <w:rFonts w:ascii="Times New Roman" w:eastAsia="Calibri" w:hAnsi="Times New Roman" w:cs="Times New Roman"/>
          <w:sz w:val="28"/>
          <w:szCs w:val="28"/>
        </w:rPr>
        <w:t xml:space="preserve"> . – Загл.с экрана.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Antithrombotic Therapy in Patients With COVID-19, NIH, 11.02.2021. </w:t>
      </w:r>
      <w:r w:rsidRPr="00C04F24">
        <w:rPr>
          <w:rFonts w:ascii="Times New Roman" w:eastAsia="Calibri" w:hAnsi="Times New Roman" w:cs="Times New Roman"/>
          <w:sz w:val="28"/>
          <w:szCs w:val="28"/>
        </w:rPr>
        <w:t xml:space="preserve">[Электронный ресурс]. – Режим доступа: </w:t>
      </w:r>
      <w:r w:rsidRPr="00C04F24">
        <w:rPr>
          <w:rFonts w:ascii="Calibri" w:eastAsia="Calibri" w:hAnsi="Calibri" w:cs="Times New Roman"/>
        </w:rPr>
        <w:t xml:space="preserve"> </w:t>
      </w:r>
      <w:hyperlink r:id="rId72" w:anchor=":~:text=signs%20of%20CVST.-,Conclusion,with%20higher%20risk%20of%20bleeding"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pmc</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ncbi</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nlm</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nih</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gov</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articles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PMC</w:t>
        </w:r>
        <w:r w:rsidRPr="00C04F24">
          <w:rPr>
            <w:rFonts w:ascii="Times New Roman" w:eastAsia="Calibri" w:hAnsi="Times New Roman" w:cs="Times New Roman"/>
            <w:color w:val="0563C1" w:themeColor="hyperlink"/>
            <w:sz w:val="28"/>
            <w:szCs w:val="28"/>
            <w:u w:val="single"/>
          </w:rPr>
          <w:t>10512043/#:~:</w:t>
        </w:r>
        <w:r w:rsidRPr="00C04F24">
          <w:rPr>
            <w:rFonts w:ascii="Times New Roman" w:eastAsia="Calibri" w:hAnsi="Times New Roman" w:cs="Times New Roman"/>
            <w:color w:val="0563C1" w:themeColor="hyperlink"/>
            <w:sz w:val="28"/>
            <w:szCs w:val="28"/>
            <w:u w:val="single"/>
            <w:lang w:val="en-US"/>
          </w:rPr>
          <w:t>text</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signs</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of</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CVST</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Conclusion</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with</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higher</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risk</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of</w:t>
        </w:r>
        <w:r w:rsidRPr="00C04F24">
          <w:rPr>
            <w:rFonts w:ascii="Times New Roman" w:eastAsia="Calibri" w:hAnsi="Times New Roman" w:cs="Times New Roman"/>
            <w:color w:val="0563C1" w:themeColor="hyperlink"/>
            <w:sz w:val="28"/>
            <w:szCs w:val="28"/>
            <w:u w:val="single"/>
          </w:rPr>
          <w:t>%20</w:t>
        </w:r>
        <w:r w:rsidRPr="00C04F24">
          <w:rPr>
            <w:rFonts w:ascii="Times New Roman" w:eastAsia="Calibri" w:hAnsi="Times New Roman" w:cs="Times New Roman"/>
            <w:color w:val="0563C1" w:themeColor="hyperlink"/>
            <w:sz w:val="28"/>
            <w:szCs w:val="28"/>
            <w:u w:val="single"/>
            <w:lang w:val="en-US"/>
          </w:rPr>
          <w:t>bleeding</w:t>
        </w:r>
      </w:hyperlink>
      <w:r w:rsidRPr="00C04F24">
        <w:rPr>
          <w:rFonts w:ascii="Times New Roman" w:eastAsia="Calibri" w:hAnsi="Times New Roman" w:cs="Times New Roman"/>
          <w:sz w:val="28"/>
          <w:szCs w:val="28"/>
        </w:rPr>
        <w:t xml:space="preserve">.. – Загл.с экрана.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COVID-19 position statement: Maternal critical care provision SIGN, 25.11.2020. </w:t>
      </w:r>
      <w:r w:rsidRPr="00C04F24">
        <w:rPr>
          <w:rFonts w:ascii="Times New Roman" w:eastAsia="Calibri" w:hAnsi="Times New Roman" w:cs="Times New Roman"/>
          <w:sz w:val="28"/>
          <w:szCs w:val="28"/>
        </w:rPr>
        <w:t xml:space="preserve">[Электронный ресурс]. – Режим доступа: </w:t>
      </w:r>
      <w:hyperlink r:id="rId73" w:history="1">
        <w:r w:rsidRPr="00C04F24">
          <w:rPr>
            <w:rFonts w:ascii="Times New Roman" w:eastAsia="Calibri" w:hAnsi="Times New Roman" w:cs="Times New Roman"/>
            <w:color w:val="0563C1" w:themeColor="hyperlink"/>
            <w:sz w:val="28"/>
            <w:szCs w:val="28"/>
            <w:u w:val="single"/>
          </w:rPr>
          <w:t>https://www.sign.ac.uk/media/1787/sg-maternal-critical-care-provision_v33.pdf</w:t>
        </w:r>
      </w:hyperlink>
      <w:r w:rsidRPr="00C04F24">
        <w:rPr>
          <w:rFonts w:ascii="Times New Roman" w:eastAsia="Calibri" w:hAnsi="Times New Roman" w:cs="Times New Roman"/>
          <w:sz w:val="28"/>
          <w:szCs w:val="28"/>
        </w:rPr>
        <w:t>. – Загл.с экрана.</w:t>
      </w:r>
      <w:r w:rsidRPr="00C04F24">
        <w:rPr>
          <w:rFonts w:ascii="Calibri" w:eastAsia="Calibri" w:hAnsi="Calibri" w:cs="Times New Roman"/>
        </w:rPr>
        <w:t xml:space="preserve"> </w:t>
      </w:r>
      <w:r w:rsidRPr="00C04F24">
        <w:rPr>
          <w:rFonts w:ascii="Times New Roman" w:eastAsia="Calibri" w:hAnsi="Times New Roman" w:cs="Times New Roman"/>
          <w:sz w:val="28"/>
          <w:szCs w:val="28"/>
        </w:rPr>
        <w:t xml:space="preserve">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 xml:space="preserve">Definitions of patients at high risk of COVID-19 infection, for shielding lung disease, SIGN, 30.04.2020. </w:t>
      </w:r>
      <w:r w:rsidRPr="00C04F24">
        <w:rPr>
          <w:rFonts w:ascii="Times New Roman" w:eastAsia="Calibri" w:hAnsi="Times New Roman" w:cs="Times New Roman"/>
          <w:sz w:val="28"/>
          <w:szCs w:val="28"/>
        </w:rPr>
        <w:t xml:space="preserve">[Электронный ресурс]. – Режим доступа: </w:t>
      </w:r>
      <w:r w:rsidRPr="00C04F24">
        <w:rPr>
          <w:rFonts w:ascii="Calibri" w:eastAsia="Calibri" w:hAnsi="Calibri" w:cs="Times New Roman"/>
        </w:rPr>
        <w:t xml:space="preserve"> </w:t>
      </w:r>
      <w:hyperlink r:id="rId74" w:history="1">
        <w:r w:rsidRPr="00C04F24">
          <w:rPr>
            <w:rFonts w:ascii="Times New Roman" w:eastAsia="Calibri" w:hAnsi="Times New Roman" w:cs="Times New Roman"/>
            <w:color w:val="0563C1" w:themeColor="hyperlink"/>
            <w:sz w:val="28"/>
            <w:szCs w:val="28"/>
            <w:u w:val="single"/>
          </w:rPr>
          <w:t>https://www.sign.ac.uk/media/1373/sg_shielding_guidance.pdf</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Risk</w:t>
      </w:r>
      <w:r w:rsidRPr="00C04F24">
        <w:rPr>
          <w:rFonts w:ascii="Times New Roman" w:eastAsia="Calibri" w:hAnsi="Times New Roman" w:cs="Times New Roman"/>
          <w:sz w:val="28"/>
          <w:szCs w:val="28"/>
        </w:rPr>
        <w:t xml:space="preserve"> </w:t>
      </w:r>
      <w:r w:rsidRPr="00C04F24">
        <w:rPr>
          <w:rFonts w:ascii="Times New Roman" w:eastAsia="Calibri" w:hAnsi="Times New Roman" w:cs="Times New Roman"/>
          <w:sz w:val="28"/>
          <w:szCs w:val="28"/>
          <w:lang w:val="en-US"/>
        </w:rPr>
        <w:t>assessment</w:t>
      </w:r>
      <w:r w:rsidRPr="00C04F24">
        <w:rPr>
          <w:rFonts w:ascii="Times New Roman" w:eastAsia="Calibri" w:hAnsi="Times New Roman" w:cs="Times New Roman"/>
          <w:sz w:val="28"/>
          <w:szCs w:val="28"/>
        </w:rPr>
        <w:t xml:space="preserve"> </w:t>
      </w:r>
      <w:r w:rsidRPr="00C04F24">
        <w:rPr>
          <w:rFonts w:ascii="Times New Roman" w:eastAsia="Calibri" w:hAnsi="Times New Roman" w:cs="Times New Roman"/>
          <w:sz w:val="28"/>
          <w:szCs w:val="28"/>
          <w:lang w:val="en-US"/>
        </w:rPr>
        <w:t>for</w:t>
      </w:r>
      <w:r w:rsidRPr="00C04F24">
        <w:rPr>
          <w:rFonts w:ascii="Times New Roman" w:eastAsia="Calibri" w:hAnsi="Times New Roman" w:cs="Times New Roman"/>
          <w:sz w:val="28"/>
          <w:szCs w:val="28"/>
        </w:rPr>
        <w:t xml:space="preserve"> </w:t>
      </w:r>
      <w:r w:rsidRPr="00C04F24">
        <w:rPr>
          <w:rFonts w:ascii="Times New Roman" w:eastAsia="Calibri" w:hAnsi="Times New Roman" w:cs="Times New Roman"/>
          <w:sz w:val="28"/>
          <w:szCs w:val="28"/>
          <w:lang w:val="en-US"/>
        </w:rPr>
        <w:t>Venous</w:t>
      </w:r>
      <w:r w:rsidRPr="00C04F24">
        <w:rPr>
          <w:rFonts w:ascii="Times New Roman" w:eastAsia="Calibri" w:hAnsi="Times New Roman" w:cs="Times New Roman"/>
          <w:sz w:val="28"/>
          <w:szCs w:val="28"/>
        </w:rPr>
        <w:t xml:space="preserve"> </w:t>
      </w:r>
      <w:r w:rsidRPr="00C04F24">
        <w:rPr>
          <w:rFonts w:ascii="Times New Roman" w:eastAsia="Calibri" w:hAnsi="Times New Roman" w:cs="Times New Roman"/>
          <w:sz w:val="28"/>
          <w:szCs w:val="28"/>
          <w:lang w:val="en-US"/>
        </w:rPr>
        <w:t>thromboembolism</w:t>
      </w:r>
      <w:r w:rsidRPr="00C04F24">
        <w:rPr>
          <w:rFonts w:ascii="Times New Roman" w:eastAsia="Calibri" w:hAnsi="Times New Roman" w:cs="Times New Roman"/>
          <w:sz w:val="28"/>
          <w:szCs w:val="28"/>
        </w:rPr>
        <w:t xml:space="preserve"> (</w:t>
      </w:r>
      <w:r w:rsidRPr="00C04F24">
        <w:rPr>
          <w:rFonts w:ascii="Times New Roman" w:eastAsia="Calibri" w:hAnsi="Times New Roman" w:cs="Times New Roman"/>
          <w:sz w:val="28"/>
          <w:szCs w:val="28"/>
          <w:lang w:val="en-US"/>
        </w:rPr>
        <w:t>VTE</w:t>
      </w:r>
      <w:r w:rsidRPr="00C04F24">
        <w:rPr>
          <w:rFonts w:ascii="Times New Roman" w:eastAsia="Calibri" w:hAnsi="Times New Roman" w:cs="Times New Roman"/>
          <w:sz w:val="28"/>
          <w:szCs w:val="28"/>
        </w:rPr>
        <w:t xml:space="preserve">) – [Электронный ресурс]. – Режим доступа: </w:t>
      </w:r>
      <w:r w:rsidRPr="00C04F24">
        <w:rPr>
          <w:rFonts w:ascii="Calibri" w:eastAsia="Calibri" w:hAnsi="Calibri" w:cs="Times New Roman"/>
        </w:rPr>
        <w:t xml:space="preserve"> </w:t>
      </w:r>
      <w:hyperlink r:id="rId75" w:history="1">
        <w:r w:rsidRPr="00C04F24">
          <w:rPr>
            <w:rFonts w:ascii="Times New Roman" w:eastAsia="Calibri" w:hAnsi="Times New Roman" w:cs="Times New Roman"/>
            <w:color w:val="0563C1" w:themeColor="hyperlink"/>
            <w:sz w:val="28"/>
            <w:szCs w:val="28"/>
            <w:u w:val="single"/>
            <w:lang w:val="en-US"/>
          </w:rPr>
          <w:t>http</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www</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nice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org</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uk</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Guidance</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CG</w:t>
        </w:r>
        <w:r w:rsidRPr="00C04F24">
          <w:rPr>
            <w:rFonts w:ascii="Times New Roman" w:eastAsia="Calibri" w:hAnsi="Times New Roman" w:cs="Times New Roman"/>
            <w:color w:val="0563C1" w:themeColor="hyperlink"/>
            <w:sz w:val="28"/>
            <w:szCs w:val="28"/>
            <w:u w:val="single"/>
          </w:rPr>
          <w:t>92</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Ospina-Tascón, G.A.</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color w:val="212121"/>
          <w:sz w:val="28"/>
          <w:szCs w:val="28"/>
          <w:lang w:val="en-US"/>
        </w:rPr>
        <w:t>Effect of High-Flow Oxygen Therapy vs Conventional Oxygen Therapy on Invasive Mechanical Ventilation and Clinical Recovery in Patients With Severe COVID-19: A Randomized Clinical Trial</w:t>
      </w:r>
      <w:r w:rsidRPr="00C04F24">
        <w:rPr>
          <w:rFonts w:ascii="Times New Roman" w:eastAsia="Calibri" w:hAnsi="Times New Roman" w:cs="Times New Roman"/>
          <w:sz w:val="28"/>
          <w:szCs w:val="28"/>
          <w:lang w:val="en-US"/>
        </w:rPr>
        <w:t xml:space="preserve"> [Text] / G.A.Ospina-</w:t>
      </w:r>
      <w:r w:rsidRPr="00C04F24">
        <w:rPr>
          <w:rFonts w:ascii="Times New Roman" w:eastAsia="Calibri" w:hAnsi="Times New Roman" w:cs="Times New Roman"/>
          <w:sz w:val="28"/>
          <w:szCs w:val="28"/>
          <w:lang w:val="en-US"/>
        </w:rPr>
        <w:lastRenderedPageBreak/>
        <w:t>Tascon, L.E.Calderon-Tapia, A.F.Garcia et al. // JAMA. – 2021. – Vol.326(21). – P.2161–2171. doi:10.1001/jama.2021.20714</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Carfì, A.</w:t>
      </w:r>
      <w:r w:rsidRPr="00C04F24">
        <w:rPr>
          <w:rFonts w:ascii="Times New Roman" w:eastAsia="Calibri" w:hAnsi="Times New Roman" w:cs="Times New Roman"/>
          <w:sz w:val="28"/>
          <w:szCs w:val="28"/>
          <w:lang w:val="en-US"/>
        </w:rPr>
        <w:t xml:space="preserve"> Gemelli Against COVID-19 Post-Acute Care Study Group. Persistent Symptoms in Patients After Acute COVID-19 [Text] / A. Carfi, R.Bernabei, F. Landi et al. // JAMA. – 2020. – Vol.324. – P.603.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sz w:val="28"/>
          <w:szCs w:val="28"/>
          <w:lang w:val="en-US"/>
        </w:rPr>
        <w:t>Public Health England (2020) COVID-19: long-term health effects [</w:t>
      </w:r>
      <w:r w:rsidRPr="00C04F24">
        <w:rPr>
          <w:rFonts w:ascii="Times New Roman" w:eastAsia="Calibri" w:hAnsi="Times New Roman" w:cs="Times New Roman"/>
          <w:sz w:val="28"/>
          <w:szCs w:val="28"/>
        </w:rPr>
        <w:t>Электронный</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ресурс</w:t>
      </w:r>
      <w:r w:rsidRPr="00C04F24">
        <w:rPr>
          <w:rFonts w:ascii="Times New Roman" w:eastAsia="Calibri" w:hAnsi="Times New Roman" w:cs="Times New Roman"/>
          <w:sz w:val="28"/>
          <w:szCs w:val="28"/>
          <w:lang w:val="en-US"/>
        </w:rPr>
        <w:t xml:space="preserve">]. – </w:t>
      </w:r>
      <w:r w:rsidRPr="00C04F24">
        <w:rPr>
          <w:rFonts w:ascii="Times New Roman" w:eastAsia="Calibri" w:hAnsi="Times New Roman" w:cs="Times New Roman"/>
          <w:sz w:val="28"/>
          <w:szCs w:val="28"/>
        </w:rPr>
        <w:t>Режим</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доступа</w:t>
      </w:r>
      <w:r w:rsidRPr="00C04F24">
        <w:rPr>
          <w:rFonts w:ascii="Times New Roman" w:eastAsia="Calibri" w:hAnsi="Times New Roman" w:cs="Times New Roman"/>
          <w:sz w:val="28"/>
          <w:szCs w:val="28"/>
          <w:lang w:val="en-US"/>
        </w:rPr>
        <w:t xml:space="preserve">: </w:t>
      </w:r>
      <w:r w:rsidRPr="00C04F24">
        <w:rPr>
          <w:rFonts w:ascii="Calibri" w:eastAsia="Calibri" w:hAnsi="Calibri" w:cs="Times New Roman"/>
          <w:lang w:val="en-US"/>
        </w:rPr>
        <w:t xml:space="preserve"> </w:t>
      </w:r>
      <w:r w:rsidRPr="00C04F24">
        <w:rPr>
          <w:rFonts w:ascii="Times New Roman" w:eastAsia="Calibri" w:hAnsi="Times New Roman" w:cs="Times New Roman"/>
          <w:sz w:val="28"/>
          <w:szCs w:val="28"/>
          <w:lang w:val="en-US"/>
        </w:rPr>
        <w:t xml:space="preserve"> </w:t>
      </w:r>
      <w:hyperlink r:id="rId76" w:history="1">
        <w:r w:rsidRPr="00C04F24">
          <w:rPr>
            <w:rFonts w:ascii="Times New Roman" w:eastAsia="Calibri" w:hAnsi="Times New Roman" w:cs="Times New Roman"/>
            <w:color w:val="0563C1" w:themeColor="hyperlink"/>
            <w:sz w:val="28"/>
            <w:szCs w:val="28"/>
            <w:u w:val="single"/>
            <w:lang w:val="en-US"/>
          </w:rPr>
          <w:t>https://www.gov.uk/government/publications/covid-19-long-term-health</w:t>
        </w:r>
      </w:hyperlink>
      <w:r w:rsidRPr="00C04F24">
        <w:rPr>
          <w:rFonts w:ascii="Times New Roman" w:eastAsia="Calibri" w:hAnsi="Times New Roman" w:cs="Times New Roman"/>
          <w:sz w:val="28"/>
          <w:szCs w:val="28"/>
          <w:lang w:val="en-US"/>
        </w:rPr>
        <w:t xml:space="preserve"> effects/covid-19- long-term-health-effects/ . – </w:t>
      </w:r>
      <w:r w:rsidRPr="00C04F24">
        <w:rPr>
          <w:rFonts w:ascii="Times New Roman" w:eastAsia="Calibri" w:hAnsi="Times New Roman" w:cs="Times New Roman"/>
          <w:sz w:val="28"/>
          <w:szCs w:val="28"/>
        </w:rPr>
        <w:t>Загл</w:t>
      </w:r>
      <w:r w:rsidRPr="00C04F24">
        <w:rPr>
          <w:rFonts w:ascii="Times New Roman" w:eastAsia="Calibri" w:hAnsi="Times New Roman" w:cs="Times New Roman"/>
          <w:sz w:val="28"/>
          <w:szCs w:val="28"/>
          <w:lang w:val="en-US"/>
        </w:rPr>
        <w:t>.</w:t>
      </w:r>
      <w:r w:rsidRPr="00C04F24">
        <w:rPr>
          <w:rFonts w:ascii="Times New Roman" w:eastAsia="Calibri" w:hAnsi="Times New Roman" w:cs="Times New Roman"/>
          <w:sz w:val="28"/>
          <w:szCs w:val="28"/>
        </w:rPr>
        <w:t>с</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экрана</w:t>
      </w:r>
      <w:r w:rsidRPr="00C04F24">
        <w:rPr>
          <w:rFonts w:ascii="Times New Roman" w:eastAsia="Calibri" w:hAnsi="Times New Roman" w:cs="Times New Roman"/>
          <w:sz w:val="28"/>
          <w:szCs w:val="28"/>
          <w:lang w:val="en-US"/>
        </w:rPr>
        <w:t>.</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Halpin, S.J.</w:t>
      </w:r>
      <w:r w:rsidRPr="00C04F24">
        <w:rPr>
          <w:rFonts w:ascii="Times New Roman" w:eastAsia="Calibri" w:hAnsi="Times New Roman" w:cs="Times New Roman"/>
          <w:sz w:val="28"/>
          <w:szCs w:val="28"/>
          <w:lang w:val="en-US"/>
        </w:rPr>
        <w:t xml:space="preserve"> Postdischarge symptoms and rehabilitation needs in survivors of COVID-19 infection: A cross-sectional evaluation [Text]/ S.J.Halpin, C. McIvor, G.Whtatt et al. // J Med Virol. – 2021. – Vol.93. – P.1013.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Bowles, K.H. </w:t>
      </w:r>
      <w:r w:rsidRPr="00C04F24">
        <w:rPr>
          <w:rFonts w:ascii="Times New Roman" w:eastAsia="Calibri" w:hAnsi="Times New Roman" w:cs="Times New Roman"/>
          <w:sz w:val="28"/>
          <w:szCs w:val="28"/>
          <w:lang w:val="en-US"/>
        </w:rPr>
        <w:t xml:space="preserve"> Surviving COVID-19 After Hospital Discharge: Symptom, Functional, and Adverse Outcomes of Home Health Recipients  [Text] / K.H. Bowles, M. McDonald, Y. Barron et al. //Ann.Intern. Med. – 2021. – Vol.174. – No.3. – P.316-325.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Angelo Carfì,</w:t>
      </w:r>
      <w:r w:rsidRPr="00C04F24">
        <w:rPr>
          <w:rFonts w:ascii="Times New Roman" w:eastAsia="Calibri" w:hAnsi="Times New Roman" w:cs="Times New Roman"/>
          <w:sz w:val="28"/>
          <w:szCs w:val="28"/>
          <w:lang w:val="en-US"/>
        </w:rPr>
        <w:t xml:space="preserve"> MD1; Roberto Bernabei, MD1 ; Francesco Landi, MD, PhD1 ; et al. Persistent Symptoms in Patients After Acute COVID-19, 09.06.2020. -[</w:t>
      </w:r>
      <w:r w:rsidRPr="00C04F24">
        <w:rPr>
          <w:rFonts w:ascii="Times New Roman" w:eastAsia="Calibri" w:hAnsi="Times New Roman" w:cs="Times New Roman"/>
          <w:sz w:val="28"/>
          <w:szCs w:val="28"/>
        </w:rPr>
        <w:t>Электронный</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ресурс</w:t>
      </w:r>
      <w:r w:rsidRPr="00C04F24">
        <w:rPr>
          <w:rFonts w:ascii="Times New Roman" w:eastAsia="Calibri" w:hAnsi="Times New Roman" w:cs="Times New Roman"/>
          <w:sz w:val="28"/>
          <w:szCs w:val="28"/>
          <w:lang w:val="en-US"/>
        </w:rPr>
        <w:t xml:space="preserve">]. – </w:t>
      </w:r>
      <w:r w:rsidRPr="00C04F24">
        <w:rPr>
          <w:rFonts w:ascii="Times New Roman" w:eastAsia="Calibri" w:hAnsi="Times New Roman" w:cs="Times New Roman"/>
          <w:sz w:val="28"/>
          <w:szCs w:val="28"/>
        </w:rPr>
        <w:t>Режим</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доступа</w:t>
      </w:r>
      <w:r w:rsidRPr="00C04F24">
        <w:rPr>
          <w:rFonts w:ascii="Times New Roman" w:eastAsia="Calibri" w:hAnsi="Times New Roman" w:cs="Times New Roman"/>
          <w:sz w:val="28"/>
          <w:szCs w:val="28"/>
          <w:lang w:val="en-US"/>
        </w:rPr>
        <w:t xml:space="preserve">: </w:t>
      </w:r>
      <w:r w:rsidRPr="00C04F24">
        <w:rPr>
          <w:rFonts w:ascii="Calibri" w:eastAsia="Calibri" w:hAnsi="Calibri" w:cs="Times New Roman"/>
          <w:lang w:val="en-US"/>
        </w:rPr>
        <w:t xml:space="preserve"> </w:t>
      </w:r>
      <w:r w:rsidRPr="00C04F24">
        <w:rPr>
          <w:rFonts w:ascii="Times New Roman" w:eastAsia="Calibri" w:hAnsi="Times New Roman" w:cs="Times New Roman"/>
          <w:sz w:val="28"/>
          <w:szCs w:val="28"/>
          <w:lang w:val="en-US"/>
        </w:rPr>
        <w:t xml:space="preserve"> </w:t>
      </w:r>
      <w:hyperlink r:id="rId77" w:history="1">
        <w:r w:rsidRPr="00C04F24">
          <w:rPr>
            <w:rFonts w:ascii="Times New Roman" w:eastAsia="Calibri" w:hAnsi="Times New Roman" w:cs="Times New Roman"/>
            <w:color w:val="0563C1" w:themeColor="hyperlink"/>
            <w:sz w:val="28"/>
            <w:szCs w:val="28"/>
            <w:u w:val="single"/>
            <w:lang w:val="en-US"/>
          </w:rPr>
          <w:t>https://jamanetwork.com/journals/jama/fullarticle/2768351</w:t>
        </w:r>
      </w:hyperlink>
      <w:r w:rsidRPr="00C04F24">
        <w:rPr>
          <w:rFonts w:ascii="Times New Roman" w:eastAsia="Calibri" w:hAnsi="Times New Roman" w:cs="Times New Roman"/>
          <w:sz w:val="28"/>
          <w:szCs w:val="28"/>
          <w:lang w:val="en-US"/>
        </w:rPr>
        <w:t xml:space="preserve"> . – </w:t>
      </w:r>
      <w:r w:rsidRPr="00C04F24">
        <w:rPr>
          <w:rFonts w:ascii="Times New Roman" w:eastAsia="Calibri" w:hAnsi="Times New Roman" w:cs="Times New Roman"/>
          <w:sz w:val="28"/>
          <w:szCs w:val="28"/>
        </w:rPr>
        <w:t>Загл</w:t>
      </w:r>
      <w:r w:rsidRPr="00C04F24">
        <w:rPr>
          <w:rFonts w:ascii="Times New Roman" w:eastAsia="Calibri" w:hAnsi="Times New Roman" w:cs="Times New Roman"/>
          <w:sz w:val="28"/>
          <w:szCs w:val="28"/>
          <w:lang w:val="en-US"/>
        </w:rPr>
        <w:t>.</w:t>
      </w:r>
      <w:r w:rsidRPr="00C04F24">
        <w:rPr>
          <w:rFonts w:ascii="Times New Roman" w:eastAsia="Calibri" w:hAnsi="Times New Roman" w:cs="Times New Roman"/>
          <w:sz w:val="28"/>
          <w:szCs w:val="28"/>
        </w:rPr>
        <w:t>с</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экрана</w:t>
      </w:r>
      <w:r w:rsidRPr="00C04F24">
        <w:rPr>
          <w:rFonts w:ascii="Times New Roman" w:eastAsia="Calibri" w:hAnsi="Times New Roman" w:cs="Times New Roman"/>
          <w:sz w:val="28"/>
          <w:szCs w:val="28"/>
          <w:lang w:val="en-US"/>
        </w:rPr>
        <w:t>.</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sz w:val="28"/>
          <w:szCs w:val="28"/>
          <w:lang w:val="en-US"/>
        </w:rPr>
        <w:t>Management of post-acute covid-19 in primary care. BMJ</w:t>
      </w:r>
      <w:r w:rsidRPr="00C04F24">
        <w:rPr>
          <w:rFonts w:ascii="Times New Roman" w:eastAsia="Calibri" w:hAnsi="Times New Roman" w:cs="Times New Roman"/>
          <w:sz w:val="28"/>
          <w:szCs w:val="28"/>
        </w:rPr>
        <w:t xml:space="preserve">, 2020; 370. [Электронный ресурс]. – Режим доступа: </w:t>
      </w:r>
      <w:r w:rsidRPr="00C04F24">
        <w:rPr>
          <w:rFonts w:ascii="Calibri" w:eastAsia="Calibri" w:hAnsi="Calibri" w:cs="Times New Roman"/>
        </w:rPr>
        <w:t xml:space="preserve"> </w:t>
      </w:r>
      <w:r w:rsidRPr="00C04F24">
        <w:rPr>
          <w:rFonts w:ascii="Times New Roman" w:eastAsia="Calibri" w:hAnsi="Times New Roman" w:cs="Times New Roman"/>
          <w:sz w:val="28"/>
          <w:szCs w:val="28"/>
        </w:rPr>
        <w:t xml:space="preserve"> </w:t>
      </w:r>
      <w:hyperlink r:id="rId78"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doi</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org</w:t>
        </w:r>
        <w:r w:rsidRPr="00C04F24">
          <w:rPr>
            <w:rFonts w:ascii="Times New Roman" w:eastAsia="Calibri" w:hAnsi="Times New Roman" w:cs="Times New Roman"/>
            <w:color w:val="0563C1" w:themeColor="hyperlink"/>
            <w:sz w:val="28"/>
            <w:szCs w:val="28"/>
            <w:u w:val="single"/>
          </w:rPr>
          <w:t>/10.1136/</w:t>
        </w:r>
        <w:r w:rsidRPr="00C04F24">
          <w:rPr>
            <w:rFonts w:ascii="Times New Roman" w:eastAsia="Calibri" w:hAnsi="Times New Roman" w:cs="Times New Roman"/>
            <w:color w:val="0563C1" w:themeColor="hyperlink"/>
            <w:sz w:val="28"/>
            <w:szCs w:val="28"/>
            <w:u w:val="single"/>
            <w:lang w:val="en-US"/>
          </w:rPr>
          <w:t>bmj</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m</w:t>
        </w:r>
        <w:r w:rsidRPr="00C04F24">
          <w:rPr>
            <w:rFonts w:ascii="Times New Roman" w:eastAsia="Calibri" w:hAnsi="Times New Roman" w:cs="Times New Roman"/>
            <w:color w:val="0563C1" w:themeColor="hyperlink"/>
            <w:sz w:val="28"/>
            <w:szCs w:val="28"/>
            <w:u w:val="single"/>
          </w:rPr>
          <w:t>3026</w:t>
        </w:r>
      </w:hyperlink>
      <w:r w:rsidRPr="00C04F24">
        <w:rPr>
          <w:rFonts w:ascii="Times New Roman" w:eastAsia="Calibri" w:hAnsi="Times New Roman" w:cs="Times New Roman"/>
          <w:sz w:val="28"/>
          <w:szCs w:val="28"/>
        </w:rPr>
        <w:t xml:space="preserve"> . – Загл.с экрана. (</w:t>
      </w:r>
      <w:r w:rsidRPr="00C04F24">
        <w:rPr>
          <w:rFonts w:ascii="Times New Roman" w:eastAsia="Calibri" w:hAnsi="Times New Roman" w:cs="Times New Roman"/>
          <w:sz w:val="28"/>
          <w:szCs w:val="28"/>
          <w:lang w:val="en-US"/>
        </w:rPr>
        <w:t>Published</w:t>
      </w:r>
      <w:r w:rsidRPr="00C04F24">
        <w:rPr>
          <w:rFonts w:ascii="Times New Roman" w:eastAsia="Calibri" w:hAnsi="Times New Roman" w:cs="Times New Roman"/>
          <w:sz w:val="28"/>
          <w:szCs w:val="28"/>
        </w:rPr>
        <w:t xml:space="preserve"> 11 </w:t>
      </w:r>
      <w:r w:rsidRPr="00C04F24">
        <w:rPr>
          <w:rFonts w:ascii="Times New Roman" w:eastAsia="Calibri" w:hAnsi="Times New Roman" w:cs="Times New Roman"/>
          <w:sz w:val="28"/>
          <w:szCs w:val="28"/>
          <w:lang w:val="en-US"/>
        </w:rPr>
        <w:t>August</w:t>
      </w:r>
      <w:r w:rsidRPr="00C04F24">
        <w:rPr>
          <w:rFonts w:ascii="Times New Roman" w:eastAsia="Calibri" w:hAnsi="Times New Roman" w:cs="Times New Roman"/>
          <w:sz w:val="28"/>
          <w:szCs w:val="28"/>
        </w:rPr>
        <w:t xml:space="preserve"> 2020).</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Wilder-Smith, A. </w:t>
      </w:r>
      <w:r w:rsidRPr="00C04F24">
        <w:rPr>
          <w:rFonts w:ascii="Times New Roman" w:eastAsia="Calibri" w:hAnsi="Times New Roman" w:cs="Times New Roman"/>
          <w:sz w:val="28"/>
          <w:szCs w:val="28"/>
          <w:lang w:val="en-US"/>
        </w:rPr>
        <w:t xml:space="preserve"> Isolation, quarantine, social distancing and community containment: pivotal rolefor old-style public health measures in the novel coronavirus (2019-nCoV) outbreak [Text] / A. Wilder-Smith // J Travel Med. – 2020. – Vol.27(2). – P.taaa020.</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Güner, R. </w:t>
      </w:r>
      <w:r w:rsidRPr="00C04F24">
        <w:rPr>
          <w:rFonts w:ascii="Times New Roman" w:eastAsia="Calibri" w:hAnsi="Times New Roman" w:cs="Times New Roman"/>
          <w:sz w:val="28"/>
          <w:szCs w:val="28"/>
          <w:lang w:val="en-US"/>
        </w:rPr>
        <w:t>COVID-19: prevention and control measures in community [Text] / R. Guner, I. Hasanoglu, F. Aktas // Turk J Med Sci. – 2020. – Vol.50(SI–1). – P.571–577.</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lastRenderedPageBreak/>
        <w:t>Cirrincione, L.</w:t>
      </w:r>
      <w:r w:rsidRPr="00C04F24">
        <w:rPr>
          <w:rFonts w:ascii="Times New Roman" w:eastAsia="Calibri" w:hAnsi="Times New Roman" w:cs="Times New Roman"/>
          <w:sz w:val="28"/>
          <w:szCs w:val="28"/>
          <w:lang w:val="en-US"/>
        </w:rPr>
        <w:t xml:space="preserve"> COVID-19 pandemic: prevention and protection measures to be adopted atthe workplace [Text] / L.Cirrincione, F. Plescia, C. Ledda et al. // Sustainability. – 2020. – Vol.12(9). – P.3603.</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Yao, J. </w:t>
      </w:r>
      <w:r w:rsidRPr="00C04F24">
        <w:rPr>
          <w:rFonts w:ascii="Times New Roman" w:eastAsia="Calibri" w:hAnsi="Times New Roman" w:cs="Times New Roman"/>
          <w:sz w:val="28"/>
          <w:szCs w:val="28"/>
          <w:lang w:val="en-US"/>
        </w:rPr>
        <w:t xml:space="preserve">The Minimal Effect of Zinc on the Survival of Hospitalized Patients With COVID-19:an Observational Study </w:t>
      </w:r>
      <w:r w:rsidRPr="00C04F24">
        <w:rPr>
          <w:rFonts w:ascii="Times New Roman" w:eastAsia="Calibri" w:hAnsi="Times New Roman" w:cs="Cambria"/>
          <w:color w:val="000000"/>
          <w:sz w:val="28"/>
          <w:szCs w:val="28"/>
          <w:lang w:val="en-US"/>
        </w:rPr>
        <w:t xml:space="preserve">[Test] / J.Yao, J.A. Paguio, E.C. Dee // </w:t>
      </w:r>
      <w:r w:rsidRPr="00C04F24">
        <w:rPr>
          <w:rFonts w:ascii="Times New Roman" w:eastAsia="Calibri" w:hAnsi="Times New Roman" w:cs="Times New Roman"/>
          <w:sz w:val="28"/>
          <w:szCs w:val="28"/>
          <w:lang w:val="en-US"/>
        </w:rPr>
        <w:t>Chest. – 2020. – Vol.159(1). – P.S0012-3692;(20)31961–31969.</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Krause, P.</w:t>
      </w:r>
      <w:r w:rsidRPr="00C04F24">
        <w:rPr>
          <w:rFonts w:ascii="Times New Roman" w:eastAsia="Calibri" w:hAnsi="Times New Roman" w:cs="Times New Roman"/>
          <w:sz w:val="28"/>
          <w:szCs w:val="28"/>
          <w:lang w:val="en-US"/>
        </w:rPr>
        <w:t xml:space="preserve"> For the World Health Organization Solidarity Vaccines Trial Expert GroupCOVID-19 vaccine trials should seek worthwhile efficacy [Text] / P. Krause, T.R. Fleming, I. Longini et al.// Lancet. -  2020. – Vol.396(10253). – P.741–743.</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Koo, J.R.</w:t>
      </w:r>
      <w:r w:rsidRPr="00C04F24">
        <w:rPr>
          <w:rFonts w:ascii="Times New Roman" w:eastAsia="Calibri" w:hAnsi="Times New Roman" w:cs="Times New Roman"/>
          <w:sz w:val="28"/>
          <w:szCs w:val="28"/>
          <w:lang w:val="en-US"/>
        </w:rPr>
        <w:t xml:space="preserve"> Interventions to mitigate early spread of SARS-CoV-2 in Singapore: a modellingstudy </w:t>
      </w:r>
      <w:r w:rsidRPr="00C04F24">
        <w:rPr>
          <w:rFonts w:ascii="Times New Roman" w:eastAsia="Calibri" w:hAnsi="Times New Roman" w:cs="Cambria"/>
          <w:color w:val="000000"/>
          <w:sz w:val="28"/>
          <w:szCs w:val="28"/>
          <w:lang w:val="en-US"/>
        </w:rPr>
        <w:t xml:space="preserve">[Text] / J/R. Koo, A.R.Cook, M.Park et al // </w:t>
      </w:r>
      <w:r w:rsidRPr="00C04F24">
        <w:rPr>
          <w:rFonts w:ascii="Times New Roman" w:eastAsia="Calibri" w:hAnsi="Times New Roman" w:cs="Times New Roman"/>
          <w:sz w:val="28"/>
          <w:szCs w:val="28"/>
          <w:lang w:val="en-US"/>
        </w:rPr>
        <w:t xml:space="preserve">Lancet Infect Dis. – 2020. – Vol.20(6). – P.678–688.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b/>
          <w:bCs/>
          <w:sz w:val="28"/>
          <w:szCs w:val="28"/>
          <w:lang w:val="en-US"/>
        </w:rPr>
        <w:t>Rodriguez-Morales, A.J.</w:t>
      </w:r>
      <w:r w:rsidRPr="00C04F24">
        <w:rPr>
          <w:rFonts w:ascii="Times New Roman" w:eastAsia="Calibri" w:hAnsi="Times New Roman" w:cs="Times New Roman"/>
          <w:sz w:val="28"/>
          <w:szCs w:val="28"/>
          <w:lang w:val="en-US"/>
        </w:rPr>
        <w:t xml:space="preserve"> Clinical, laboratory and imaging features ofCOVID-19: a systematic review and meta-analysis [Text] / A.J.Rodriguez-Morales, J.A. Cardona-Ospina, E. Gutterez-Ocampo  // Travel Med Infect Dis. – 2020. – Vol.34. – P.101-623.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Shim, E. </w:t>
      </w:r>
      <w:r w:rsidRPr="00C04F24">
        <w:rPr>
          <w:rFonts w:ascii="Times New Roman" w:eastAsia="Calibri" w:hAnsi="Times New Roman" w:cs="Times New Roman"/>
          <w:sz w:val="28"/>
          <w:szCs w:val="28"/>
          <w:lang w:val="en-US"/>
        </w:rPr>
        <w:t>Transmission potential and severity of COVID-19 in South Korea [Text] / E.Shim, A. Tariq, W. Choi et al. // Int J Infect Dis.- 2020. – Vol.93. – P.339–344.</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Bavli, I. </w:t>
      </w:r>
      <w:r w:rsidRPr="00C04F24">
        <w:rPr>
          <w:rFonts w:ascii="Times New Roman" w:eastAsia="Calibri" w:hAnsi="Times New Roman" w:cs="Times New Roman"/>
          <w:sz w:val="28"/>
          <w:szCs w:val="28"/>
          <w:lang w:val="en-US"/>
        </w:rPr>
        <w:t xml:space="preserve">Harms of public health interventions against covid-19 must not be ignored [Text] / I. Bavli, B.Sutton, S.Galea // BMJ. – 2020. – Vol.371. – P.m4074.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Iwasaki, A. </w:t>
      </w:r>
      <w:r w:rsidRPr="00C04F24">
        <w:rPr>
          <w:rFonts w:ascii="Times New Roman" w:eastAsia="Calibri" w:hAnsi="Times New Roman" w:cs="Times New Roman"/>
          <w:sz w:val="28"/>
          <w:szCs w:val="28"/>
          <w:lang w:val="en-US"/>
        </w:rPr>
        <w:t>Why does Japan have so few cases of COVID-19? [Text] / A. Iwasaki, N.D.Grubaugh // EMBO Mol Med. – 2020. – Vol.12(5). – P.e12481.</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Times New Roman" w:hAnsi="Times New Roman" w:cs="Times New Roman"/>
          <w:b/>
          <w:bCs/>
          <w:sz w:val="28"/>
          <w:szCs w:val="28"/>
          <w:lang w:val="en-US" w:eastAsia="ru-RU"/>
        </w:rPr>
        <w:t>Felsenstein, S.</w:t>
      </w:r>
      <w:r w:rsidRPr="00C04F24">
        <w:rPr>
          <w:rFonts w:ascii="Times New Roman" w:eastAsia="Times New Roman" w:hAnsi="Times New Roman" w:cs="Times New Roman"/>
          <w:sz w:val="28"/>
          <w:szCs w:val="28"/>
          <w:lang w:val="en-US" w:eastAsia="ru-RU"/>
        </w:rPr>
        <w:t xml:space="preserve"> COVID‐19: Immunology and treatment options </w:t>
      </w:r>
      <w:r w:rsidRPr="00C04F24">
        <w:rPr>
          <w:rFonts w:ascii="Times New Roman" w:eastAsia="Calibri" w:hAnsi="Times New Roman" w:cs="Times New Roman"/>
          <w:sz w:val="28"/>
          <w:szCs w:val="28"/>
          <w:lang w:val="en-US"/>
        </w:rPr>
        <w:t xml:space="preserve">[Text] / S. Felsenstein, J.A. Herbert, P.S. McNamara et al. // </w:t>
      </w:r>
      <w:r w:rsidRPr="00C04F24">
        <w:rPr>
          <w:rFonts w:ascii="Times New Roman" w:eastAsia="Times New Roman" w:hAnsi="Times New Roman" w:cs="Times New Roman"/>
          <w:sz w:val="28"/>
          <w:szCs w:val="28"/>
          <w:lang w:val="en-US" w:eastAsia="ru-RU"/>
        </w:rPr>
        <w:t>Clin Immunol.  – 2020. – Vol.215. – P.108448.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Times New Roman" w:hAnsi="Times New Roman" w:cs="Times New Roman"/>
          <w:b/>
          <w:bCs/>
          <w:sz w:val="28"/>
          <w:szCs w:val="28"/>
          <w:lang w:val="en-US" w:eastAsia="ru-RU"/>
        </w:rPr>
        <w:t>Vabret, N.</w:t>
      </w:r>
      <w:r w:rsidRPr="00C04F24">
        <w:rPr>
          <w:rFonts w:ascii="Times New Roman" w:eastAsia="Times New Roman" w:hAnsi="Times New Roman" w:cs="Times New Roman"/>
          <w:sz w:val="28"/>
          <w:szCs w:val="28"/>
          <w:lang w:val="en-US" w:eastAsia="ru-RU"/>
        </w:rPr>
        <w:t xml:space="preserve"> Immunology of COVID‐19: Current State of the Science [Text] / N.Varbret, G.J. Britton, C.Gruber et al. // Immunity. – 2020. – Vol.52(6). – P.910‐941.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Times New Roman" w:hAnsi="Times New Roman" w:cs="Times New Roman"/>
          <w:b/>
          <w:bCs/>
          <w:sz w:val="28"/>
          <w:szCs w:val="28"/>
          <w:lang w:val="en-US" w:eastAsia="ru-RU"/>
        </w:rPr>
        <w:lastRenderedPageBreak/>
        <w:t>Qin, C.</w:t>
      </w:r>
      <w:r w:rsidRPr="00C04F24">
        <w:rPr>
          <w:rFonts w:ascii="Times New Roman" w:eastAsia="Times New Roman" w:hAnsi="Times New Roman" w:cs="Times New Roman"/>
          <w:sz w:val="28"/>
          <w:szCs w:val="28"/>
          <w:lang w:val="en-US" w:eastAsia="ru-RU"/>
        </w:rPr>
        <w:t xml:space="preserve"> Dysregulation of immune response in patients with COVID‐19 in Wuhan, China [Text] / C.Qin, L.Zhou, Z.Hu et al. // Clin Infect Dis. – 2020. – Vol.71(15). – P.762–768.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Times New Roman" w:hAnsi="Times New Roman" w:cs="Times New Roman"/>
          <w:b/>
          <w:bCs/>
          <w:sz w:val="28"/>
          <w:szCs w:val="28"/>
          <w:lang w:val="en-US" w:eastAsia="ru-RU"/>
        </w:rPr>
        <w:t>Tan, M.</w:t>
      </w:r>
      <w:r w:rsidRPr="00C04F24">
        <w:rPr>
          <w:rFonts w:ascii="Times New Roman" w:eastAsia="Times New Roman" w:hAnsi="Times New Roman" w:cs="Times New Roman"/>
          <w:sz w:val="28"/>
          <w:szCs w:val="28"/>
          <w:lang w:val="en-US" w:eastAsia="ru-RU"/>
        </w:rPr>
        <w:t> Immunopathological characteristics of coronavirus disease 2019 cases in Guangzhou, China. [Text] / M. Tan, Y.Zhou, Y.Liu // Immunology. – 2020. – Vol.160(3). – P.261–268.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Times New Roman" w:hAnsi="Times New Roman" w:cs="Times New Roman"/>
          <w:b/>
          <w:bCs/>
          <w:sz w:val="28"/>
          <w:szCs w:val="28"/>
          <w:lang w:val="en-US" w:eastAsia="ru-RU"/>
        </w:rPr>
        <w:t xml:space="preserve">Diao, B. </w:t>
      </w:r>
      <w:r w:rsidRPr="00C04F24">
        <w:rPr>
          <w:rFonts w:ascii="Times New Roman" w:eastAsia="Times New Roman" w:hAnsi="Times New Roman" w:cs="Times New Roman"/>
          <w:sz w:val="28"/>
          <w:szCs w:val="28"/>
          <w:lang w:val="en-US" w:eastAsia="ru-RU"/>
        </w:rPr>
        <w:t xml:space="preserve">Reduction and Functional Exhaustion of T Cells in Patients With Coronavirus Disease 2019 (COVID‐19) [Text] / B. Diao, C.Wang, Y.Tang  et al. // Front Immunol. – 2020. – Vol.11. – P.827.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Times New Roman" w:hAnsi="Times New Roman" w:cs="Times New Roman"/>
          <w:b/>
          <w:bCs/>
          <w:sz w:val="28"/>
          <w:szCs w:val="28"/>
          <w:lang w:val="en-US" w:eastAsia="ru-RU"/>
        </w:rPr>
        <w:t>Wan, S.</w:t>
      </w:r>
      <w:r w:rsidRPr="00C04F24">
        <w:rPr>
          <w:rFonts w:ascii="Times New Roman" w:eastAsia="Times New Roman" w:hAnsi="Times New Roman" w:cs="Times New Roman"/>
          <w:sz w:val="28"/>
          <w:szCs w:val="28"/>
          <w:lang w:val="en-US" w:eastAsia="ru-RU"/>
        </w:rPr>
        <w:t xml:space="preserve"> Clinical features and treatment of COVID‐19 patients in northeast Chongqing [Text] / S.Wan, Y.Xiang, W.Fang // J Med Virol.  – 2020. – Vol.92(7). – P.797‐806.</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lang w:val="en-US"/>
        </w:rPr>
        <w:t>Haveri, A</w:t>
      </w:r>
      <w:r w:rsidRPr="00C04F24">
        <w:rPr>
          <w:rFonts w:ascii="Times New Roman" w:eastAsia="Calibri" w:hAnsi="Times New Roman" w:cs="Times New Roman"/>
          <w:sz w:val="28"/>
          <w:szCs w:val="28"/>
          <w:lang w:val="en-US"/>
        </w:rPr>
        <w:t xml:space="preserve">.  Serological and molecular findings during SARS‐CoV‐2 infection: the first case study in Finland, January to February 2020 </w:t>
      </w:r>
      <w:r w:rsidRPr="00C04F24">
        <w:rPr>
          <w:rFonts w:ascii="Times New Roman" w:eastAsia="Times New Roman" w:hAnsi="Times New Roman" w:cs="Times New Roman"/>
          <w:sz w:val="28"/>
          <w:szCs w:val="28"/>
          <w:lang w:val="en-US" w:eastAsia="ru-RU"/>
        </w:rPr>
        <w:t>[Text] / A. Haveri, T.Smura, S.Kuivanen et al. //</w:t>
      </w:r>
      <w:r w:rsidRPr="00C04F24">
        <w:rPr>
          <w:rFonts w:ascii="Times New Roman" w:eastAsia="Calibri" w:hAnsi="Times New Roman" w:cs="Times New Roman"/>
          <w:sz w:val="28"/>
          <w:szCs w:val="28"/>
          <w:lang w:val="en-US"/>
        </w:rPr>
        <w:t> Eurosurveillance.  – 2020. – Vol.25(11). – P.2000-266.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Lou, B.</w:t>
      </w:r>
      <w:r w:rsidRPr="00C04F24">
        <w:rPr>
          <w:rFonts w:ascii="Times New Roman" w:eastAsia="Calibri" w:hAnsi="Times New Roman" w:cs="Times New Roman"/>
          <w:sz w:val="28"/>
          <w:szCs w:val="28"/>
          <w:lang w:val="en-US"/>
        </w:rPr>
        <w:t xml:space="preserve"> Serology characteristics of SARS‐CoV‐2 infection after exposure and post‐symptom onset </w:t>
      </w:r>
      <w:r w:rsidRPr="00C04F24">
        <w:rPr>
          <w:rFonts w:ascii="Times New Roman" w:eastAsia="Times New Roman" w:hAnsi="Times New Roman" w:cs="Times New Roman"/>
          <w:sz w:val="28"/>
          <w:szCs w:val="28"/>
          <w:lang w:val="en-US" w:eastAsia="ru-RU"/>
        </w:rPr>
        <w:t>[Text] / B.Lou, T.D.Li, S.F.Zheng et al. //</w:t>
      </w:r>
      <w:r w:rsidRPr="00C04F24">
        <w:rPr>
          <w:rFonts w:ascii="Times New Roman" w:eastAsia="Calibri" w:hAnsi="Times New Roman" w:cs="Times New Roman"/>
          <w:sz w:val="28"/>
          <w:szCs w:val="28"/>
          <w:lang w:val="en-US"/>
        </w:rPr>
        <w:t> Eur Respir J. – 2020. – Vol.56(2). – P.2000-763.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lang w:val="en-US"/>
        </w:rPr>
        <w:t>Wu YC.</w:t>
      </w:r>
      <w:r w:rsidRPr="00C04F24">
        <w:rPr>
          <w:rFonts w:ascii="Times New Roman" w:eastAsia="Calibri" w:hAnsi="Times New Roman" w:cs="Times New Roman"/>
          <w:sz w:val="28"/>
          <w:szCs w:val="28"/>
          <w:lang w:val="en-US"/>
        </w:rPr>
        <w:t xml:space="preserve">The outbreak of COVID‐19: An overview </w:t>
      </w:r>
      <w:r w:rsidRPr="00C04F24">
        <w:rPr>
          <w:rFonts w:ascii="Times New Roman" w:eastAsia="Times New Roman" w:hAnsi="Times New Roman" w:cs="Times New Roman"/>
          <w:sz w:val="28"/>
          <w:szCs w:val="28"/>
          <w:lang w:val="en-US" w:eastAsia="ru-RU"/>
        </w:rPr>
        <w:t>[Text] / Y.C.Wu, C.S. Chen, Y.J.Chan et al. //</w:t>
      </w:r>
      <w:r w:rsidRPr="00C04F24">
        <w:rPr>
          <w:rFonts w:ascii="Times New Roman" w:eastAsia="Calibri" w:hAnsi="Times New Roman" w:cs="Times New Roman"/>
          <w:sz w:val="28"/>
          <w:szCs w:val="28"/>
          <w:lang w:val="en-US"/>
        </w:rPr>
        <w:t> J Chinese Med Assoc. – 2020. – Vol.83(3). – P.217‐220.</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shd w:val="clear" w:color="auto" w:fill="FFFFFF"/>
          <w:lang w:val="en-US"/>
        </w:rPr>
        <w:t>McGonagle, D.</w:t>
      </w:r>
      <w:r w:rsidRPr="00C04F24">
        <w:rPr>
          <w:rFonts w:ascii="Times New Roman" w:eastAsia="Calibri" w:hAnsi="Times New Roman" w:cs="Times New Roman"/>
          <w:sz w:val="28"/>
          <w:szCs w:val="28"/>
          <w:shd w:val="clear" w:color="auto" w:fill="FFFFFF"/>
          <w:lang w:val="en-US"/>
        </w:rPr>
        <w:t xml:space="preserve"> The Role of Cytokines including Interleukin‐6 in COVID‐19 induced Pneumonia and Macrophage Activation Syndrome‐Like Disease </w:t>
      </w:r>
      <w:r w:rsidRPr="00C04F24">
        <w:rPr>
          <w:rFonts w:ascii="Times New Roman" w:eastAsia="Times New Roman" w:hAnsi="Times New Roman" w:cs="Times New Roman"/>
          <w:sz w:val="28"/>
          <w:szCs w:val="28"/>
          <w:lang w:val="en-US" w:eastAsia="ru-RU"/>
        </w:rPr>
        <w:t xml:space="preserve">[Text] / D.McGonagle, K. Sharif, A.O’Regan et al. // </w:t>
      </w:r>
      <w:r w:rsidRPr="00C04F24">
        <w:rPr>
          <w:rFonts w:ascii="Times New Roman" w:eastAsia="Calibri" w:hAnsi="Times New Roman" w:cs="Times New Roman"/>
          <w:sz w:val="28"/>
          <w:szCs w:val="28"/>
          <w:shd w:val="clear" w:color="auto" w:fill="FFFFFF"/>
          <w:lang w:val="en-US"/>
        </w:rPr>
        <w:t>Autoimmun Rev. – 2020. – Vol.19(6). – P.102537.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shd w:val="clear" w:color="auto" w:fill="FFFFFF"/>
          <w:lang w:val="en-US"/>
        </w:rPr>
        <w:t>Huang, C.</w:t>
      </w:r>
      <w:r w:rsidRPr="00C04F24">
        <w:rPr>
          <w:rFonts w:ascii="Times New Roman" w:eastAsia="Calibri" w:hAnsi="Times New Roman" w:cs="Times New Roman"/>
          <w:sz w:val="28"/>
          <w:szCs w:val="28"/>
          <w:shd w:val="clear" w:color="auto" w:fill="FFFFFF"/>
          <w:lang w:val="en-US"/>
        </w:rPr>
        <w:t xml:space="preserve"> Clinical features of patients infected with 2019 novel coronavirus in Wuhan, China </w:t>
      </w:r>
      <w:r w:rsidRPr="00C04F24">
        <w:rPr>
          <w:rFonts w:ascii="Times New Roman" w:eastAsia="Times New Roman" w:hAnsi="Times New Roman" w:cs="Times New Roman"/>
          <w:sz w:val="28"/>
          <w:szCs w:val="28"/>
          <w:lang w:val="en-US" w:eastAsia="ru-RU"/>
        </w:rPr>
        <w:t xml:space="preserve">[Text] / C.Huang, Y.Wang, X.Li, et al. // </w:t>
      </w:r>
      <w:r w:rsidRPr="00C04F24">
        <w:rPr>
          <w:rFonts w:ascii="Times New Roman" w:eastAsia="Calibri" w:hAnsi="Times New Roman" w:cs="Times New Roman"/>
          <w:sz w:val="28"/>
          <w:szCs w:val="28"/>
          <w:shd w:val="clear" w:color="auto" w:fill="FFFFFF"/>
          <w:lang w:val="en-US"/>
        </w:rPr>
        <w:t> Lancet. – 2020. – Vol.395(10223). – P.497‐506.</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shd w:val="clear" w:color="auto" w:fill="FFFFFF"/>
          <w:lang w:val="en-US"/>
        </w:rPr>
        <w:t> Wang, F.</w:t>
      </w:r>
      <w:r w:rsidRPr="00C04F24">
        <w:rPr>
          <w:rFonts w:ascii="Times New Roman" w:eastAsia="Calibri" w:hAnsi="Times New Roman" w:cs="Times New Roman"/>
          <w:sz w:val="28"/>
          <w:szCs w:val="28"/>
          <w:shd w:val="clear" w:color="auto" w:fill="FFFFFF"/>
          <w:lang w:val="en-US"/>
        </w:rPr>
        <w:t xml:space="preserve"> Characteristics of Peripheral Lymphocyte Subset Alteration in COVID‐19 Pneumonia </w:t>
      </w:r>
      <w:r w:rsidRPr="00C04F24">
        <w:rPr>
          <w:rFonts w:ascii="Times New Roman" w:eastAsia="Times New Roman" w:hAnsi="Times New Roman" w:cs="Times New Roman"/>
          <w:sz w:val="28"/>
          <w:szCs w:val="28"/>
          <w:lang w:val="en-US" w:eastAsia="ru-RU"/>
        </w:rPr>
        <w:t>[Text] / F. Wang, J.Nie, H.Wang et al. //</w:t>
      </w:r>
      <w:r w:rsidRPr="00C04F24">
        <w:rPr>
          <w:rFonts w:ascii="Times New Roman" w:eastAsia="Calibri" w:hAnsi="Times New Roman" w:cs="Times New Roman"/>
          <w:sz w:val="28"/>
          <w:szCs w:val="28"/>
          <w:shd w:val="clear" w:color="auto" w:fill="FFFFFF"/>
          <w:lang w:val="en-US"/>
        </w:rPr>
        <w:t>J Infect Dis. – 2020. – Vol.221(11). – P.1762‐1769.</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shd w:val="clear" w:color="auto" w:fill="FFFFFF"/>
          <w:lang w:val="en-US"/>
        </w:rPr>
        <w:lastRenderedPageBreak/>
        <w:t>Ufan, A.</w:t>
      </w:r>
      <w:r w:rsidRPr="00C04F24">
        <w:rPr>
          <w:rFonts w:ascii="Times New Roman" w:eastAsia="Calibri" w:hAnsi="Times New Roman" w:cs="Times New Roman"/>
          <w:sz w:val="28"/>
          <w:szCs w:val="28"/>
          <w:shd w:val="clear" w:color="auto" w:fill="FFFFFF"/>
          <w:lang w:val="en-US"/>
        </w:rPr>
        <w:t xml:space="preserve"> COVID‐19, immunee system response, hyperinflammation and repurposing antirheumatic drugs </w:t>
      </w:r>
      <w:r w:rsidRPr="00C04F24">
        <w:rPr>
          <w:rFonts w:ascii="Times New Roman" w:eastAsia="Times New Roman" w:hAnsi="Times New Roman" w:cs="Times New Roman"/>
          <w:sz w:val="28"/>
          <w:szCs w:val="28"/>
          <w:lang w:val="en-US" w:eastAsia="ru-RU"/>
        </w:rPr>
        <w:t>[Text] / A. Ufan, G.A. Avanoglu, M. Matucci-Cerinic //</w:t>
      </w:r>
      <w:r w:rsidRPr="00C04F24">
        <w:rPr>
          <w:rFonts w:ascii="Times New Roman" w:eastAsia="Calibri" w:hAnsi="Times New Roman" w:cs="Times New Roman"/>
          <w:sz w:val="28"/>
          <w:szCs w:val="28"/>
          <w:shd w:val="clear" w:color="auto" w:fill="FFFFFF"/>
          <w:lang w:val="en-US"/>
        </w:rPr>
        <w:t> Turkish J Med Sci. – 2020. – Vol.50(SI‐1). – P.620‐632.</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shd w:val="clear" w:color="auto" w:fill="FFFFFF"/>
          <w:lang w:val="en-US"/>
        </w:rPr>
        <w:t>Crayne, C.B.</w:t>
      </w:r>
      <w:r w:rsidRPr="00C04F24">
        <w:rPr>
          <w:rFonts w:ascii="Times New Roman" w:eastAsia="Calibri" w:hAnsi="Times New Roman" w:cs="Times New Roman"/>
          <w:sz w:val="28"/>
          <w:szCs w:val="28"/>
          <w:shd w:val="clear" w:color="auto" w:fill="FFFFFF"/>
          <w:lang w:val="en-US"/>
        </w:rPr>
        <w:t xml:space="preserve"> The immunology of macrophage activation syndrome </w:t>
      </w:r>
      <w:r w:rsidRPr="00C04F24">
        <w:rPr>
          <w:rFonts w:ascii="Times New Roman" w:eastAsia="Times New Roman" w:hAnsi="Times New Roman" w:cs="Times New Roman"/>
          <w:sz w:val="28"/>
          <w:szCs w:val="28"/>
          <w:lang w:val="en-US" w:eastAsia="ru-RU"/>
        </w:rPr>
        <w:t>[Text] / C.B. Crayne, S.Albetuni, K.E.Nichols et al. //</w:t>
      </w:r>
      <w:r w:rsidRPr="00C04F24">
        <w:rPr>
          <w:rFonts w:ascii="Times New Roman" w:eastAsia="Calibri" w:hAnsi="Times New Roman" w:cs="Times New Roman"/>
          <w:sz w:val="28"/>
          <w:szCs w:val="28"/>
          <w:shd w:val="clear" w:color="auto" w:fill="FFFFFF"/>
          <w:lang w:val="en-US"/>
        </w:rPr>
        <w:t> Front Immunol. – 2019. – Vol.10. – P.119.</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Anka, A.U.</w:t>
      </w:r>
      <w:r w:rsidRPr="00C04F24">
        <w:rPr>
          <w:rFonts w:ascii="Times New Roman" w:eastAsia="Calibri" w:hAnsi="Times New Roman" w:cs="Times New Roman"/>
          <w:sz w:val="28"/>
          <w:szCs w:val="28"/>
          <w:lang w:val="en-US"/>
        </w:rPr>
        <w:t xml:space="preserve"> Coronavirus disease 2019 (COVID-19): An overview of the immunopathology, serological diagnosis and management </w:t>
      </w:r>
      <w:r w:rsidRPr="00C04F24">
        <w:rPr>
          <w:rFonts w:ascii="Times New Roman" w:eastAsia="Times New Roman" w:hAnsi="Times New Roman" w:cs="Times New Roman"/>
          <w:sz w:val="28"/>
          <w:szCs w:val="28"/>
          <w:lang w:val="en-US" w:eastAsia="ru-RU"/>
        </w:rPr>
        <w:t xml:space="preserve">[Text] / A.U.Anka, M.I. Tahir, S.D.Abubakar et al. // </w:t>
      </w:r>
      <w:r w:rsidRPr="00C04F24">
        <w:rPr>
          <w:rFonts w:ascii="Times New Roman" w:eastAsia="Calibri" w:hAnsi="Times New Roman" w:cs="Times New Roman"/>
          <w:sz w:val="28"/>
          <w:szCs w:val="28"/>
          <w:lang w:val="en-US"/>
        </w:rPr>
        <w:t xml:space="preserve">Scand J Immunol. – 2021. – Vol.93(4). – P.e12998.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shd w:val="clear" w:color="auto" w:fill="FFFFFF"/>
          <w:lang w:val="en-US"/>
        </w:rPr>
        <w:t xml:space="preserve">Ye, Q. </w:t>
      </w:r>
      <w:r w:rsidRPr="00C04F24">
        <w:rPr>
          <w:rFonts w:ascii="Times New Roman" w:eastAsia="Calibri" w:hAnsi="Times New Roman" w:cs="Times New Roman"/>
          <w:sz w:val="28"/>
          <w:szCs w:val="28"/>
          <w:shd w:val="clear" w:color="auto" w:fill="FFFFFF"/>
          <w:lang w:val="en-US"/>
        </w:rPr>
        <w:t xml:space="preserve">The pathogenesis and treatment of the ‘Cytokine Storm' in COVID‐19 </w:t>
      </w:r>
      <w:r w:rsidRPr="00C04F24">
        <w:rPr>
          <w:rFonts w:ascii="Times New Roman" w:eastAsia="Times New Roman" w:hAnsi="Times New Roman" w:cs="Times New Roman"/>
          <w:sz w:val="28"/>
          <w:szCs w:val="28"/>
          <w:lang w:val="en-US" w:eastAsia="ru-RU"/>
        </w:rPr>
        <w:t>[Text] / Q.Ye, B.Wang, J.Mao //</w:t>
      </w:r>
      <w:r w:rsidRPr="00C04F24">
        <w:rPr>
          <w:rFonts w:ascii="Times New Roman" w:eastAsia="Calibri" w:hAnsi="Times New Roman" w:cs="Times New Roman"/>
          <w:sz w:val="28"/>
          <w:szCs w:val="28"/>
          <w:shd w:val="clear" w:color="auto" w:fill="FFFFFF"/>
          <w:lang w:val="en-US"/>
        </w:rPr>
        <w:t> J Infect. – 2020. – Vol.80(6). – P.607‐613. </w:t>
      </w:r>
    </w:p>
    <w:p w:rsidR="00C04F24" w:rsidRPr="00C04F24" w:rsidRDefault="00C04F24" w:rsidP="00C04F24">
      <w:pPr>
        <w:numPr>
          <w:ilvl w:val="0"/>
          <w:numId w:val="15"/>
        </w:numPr>
        <w:shd w:val="clear" w:color="auto" w:fill="FFFFFF"/>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lang w:val="en-US"/>
        </w:rPr>
        <w:t>Law, H.K.</w:t>
      </w:r>
      <w:r w:rsidRPr="00C04F24">
        <w:rPr>
          <w:rFonts w:ascii="Times New Roman" w:eastAsia="Calibri" w:hAnsi="Times New Roman" w:cs="Times New Roman"/>
          <w:sz w:val="28"/>
          <w:szCs w:val="28"/>
          <w:lang w:val="en-US"/>
        </w:rPr>
        <w:t xml:space="preserve"> Chemokine up‐regulation in SARS‐coronavirus‐infected, monocyte‐derived human dendritic cells </w:t>
      </w:r>
      <w:r w:rsidRPr="00C04F24">
        <w:rPr>
          <w:rFonts w:ascii="Times New Roman" w:eastAsia="Times New Roman" w:hAnsi="Times New Roman" w:cs="Times New Roman"/>
          <w:sz w:val="28"/>
          <w:szCs w:val="28"/>
          <w:lang w:val="en-US" w:eastAsia="ru-RU"/>
        </w:rPr>
        <w:t xml:space="preserve">[Text] / H.K. Law, C.Y.Cheung, H.Y.Ng et al. // </w:t>
      </w:r>
      <w:r w:rsidRPr="00C04F24">
        <w:rPr>
          <w:rFonts w:ascii="Times New Roman" w:eastAsia="Calibri" w:hAnsi="Times New Roman" w:cs="Times New Roman"/>
          <w:sz w:val="28"/>
          <w:szCs w:val="28"/>
          <w:lang w:val="en-US"/>
        </w:rPr>
        <w:t>Blood. – 2005. – Vol.106(7). – P.2366‐2374. </w:t>
      </w:r>
    </w:p>
    <w:p w:rsidR="00C04F24" w:rsidRPr="00C04F24" w:rsidRDefault="00C04F24" w:rsidP="00C04F24">
      <w:pPr>
        <w:numPr>
          <w:ilvl w:val="0"/>
          <w:numId w:val="15"/>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Tynell, J. </w:t>
      </w:r>
      <w:r w:rsidRPr="00C04F24">
        <w:rPr>
          <w:rFonts w:ascii="Times New Roman" w:eastAsia="Calibri" w:hAnsi="Times New Roman" w:cs="Times New Roman"/>
          <w:sz w:val="28"/>
          <w:szCs w:val="28"/>
          <w:lang w:val="en-US"/>
        </w:rPr>
        <w:t xml:space="preserve">Middle East respiratory syndrome coronavirus shows poor replication but significant induction of antiviral responses in human monocyte‐derived macrophages and dendritic cells </w:t>
      </w:r>
      <w:r w:rsidRPr="00C04F24">
        <w:rPr>
          <w:rFonts w:ascii="Times New Roman" w:eastAsia="Times New Roman" w:hAnsi="Times New Roman" w:cs="Times New Roman"/>
          <w:sz w:val="28"/>
          <w:szCs w:val="28"/>
          <w:lang w:val="en-US" w:eastAsia="ru-RU"/>
        </w:rPr>
        <w:t xml:space="preserve">[Text] / J.Tynell, V. Westenius, E.Ronkko et al. // </w:t>
      </w:r>
      <w:r w:rsidRPr="00C04F24">
        <w:rPr>
          <w:rFonts w:ascii="Times New Roman" w:eastAsia="Calibri" w:hAnsi="Times New Roman" w:cs="Times New Roman"/>
          <w:sz w:val="28"/>
          <w:szCs w:val="28"/>
          <w:lang w:val="en-US"/>
        </w:rPr>
        <w:t> J Gen Virol. – 2016. – Vol.97(2). – P.344‐355. </w:t>
      </w:r>
    </w:p>
    <w:p w:rsidR="00C04F24" w:rsidRPr="00C04F24" w:rsidRDefault="00C04F24" w:rsidP="00C04F24">
      <w:pPr>
        <w:numPr>
          <w:ilvl w:val="0"/>
          <w:numId w:val="15"/>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Scheuplein, V.A.</w:t>
      </w:r>
      <w:r w:rsidRPr="00C04F24">
        <w:rPr>
          <w:rFonts w:ascii="Times New Roman" w:eastAsia="Calibri" w:hAnsi="Times New Roman" w:cs="Times New Roman"/>
          <w:sz w:val="28"/>
          <w:szCs w:val="28"/>
          <w:lang w:val="en-US"/>
        </w:rPr>
        <w:t xml:space="preserve"> High secretion of interferons by human plasmacytoid dendritic cells upon recognition of Middle East respiratory syndrome coronavirus </w:t>
      </w:r>
      <w:r w:rsidRPr="00C04F24">
        <w:rPr>
          <w:rFonts w:ascii="Times New Roman" w:eastAsia="Times New Roman" w:hAnsi="Times New Roman" w:cs="Times New Roman"/>
          <w:sz w:val="28"/>
          <w:szCs w:val="28"/>
          <w:lang w:val="en-US" w:eastAsia="ru-RU"/>
        </w:rPr>
        <w:t xml:space="preserve">[Text] / V.A. Scheuplein, J. Seifried, A.H. Malczyk et al. // </w:t>
      </w:r>
      <w:r w:rsidRPr="00C04F24">
        <w:rPr>
          <w:rFonts w:ascii="Times New Roman" w:eastAsia="Calibri" w:hAnsi="Times New Roman" w:cs="Times New Roman"/>
          <w:sz w:val="28"/>
          <w:szCs w:val="28"/>
          <w:lang w:val="en-US"/>
        </w:rPr>
        <w:t>J Virol. – 2015. – P.859‐3869.</w:t>
      </w:r>
    </w:p>
    <w:p w:rsidR="00C04F24" w:rsidRPr="00C04F24" w:rsidRDefault="00C04F24" w:rsidP="00C04F24">
      <w:pPr>
        <w:numPr>
          <w:ilvl w:val="0"/>
          <w:numId w:val="15"/>
        </w:numPr>
        <w:shd w:val="clear" w:color="auto" w:fill="FFFFFF"/>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lang w:val="en-US"/>
        </w:rPr>
        <w:t xml:space="preserve">Kim, E.S. </w:t>
      </w:r>
      <w:r w:rsidRPr="00C04F24">
        <w:rPr>
          <w:rFonts w:ascii="Times New Roman" w:eastAsia="Calibri" w:hAnsi="Times New Roman" w:cs="Times New Roman"/>
          <w:sz w:val="28"/>
          <w:szCs w:val="28"/>
          <w:lang w:val="en-US"/>
        </w:rPr>
        <w:t xml:space="preserve">Clinical progression and cytokine profiles of middle east respiratory syndrome coronavirus infection </w:t>
      </w:r>
      <w:r w:rsidRPr="00C04F24">
        <w:rPr>
          <w:rFonts w:ascii="Times New Roman" w:eastAsia="Times New Roman" w:hAnsi="Times New Roman" w:cs="Times New Roman"/>
          <w:sz w:val="28"/>
          <w:szCs w:val="28"/>
          <w:lang w:val="en-US" w:eastAsia="ru-RU"/>
        </w:rPr>
        <w:t xml:space="preserve">[Text] / E.S. Kim, P.G. Choe, W.B. Park et al. // </w:t>
      </w:r>
      <w:r w:rsidRPr="00C04F24">
        <w:rPr>
          <w:rFonts w:ascii="Times New Roman" w:eastAsia="Calibri" w:hAnsi="Times New Roman" w:cs="Times New Roman"/>
          <w:sz w:val="28"/>
          <w:szCs w:val="28"/>
          <w:lang w:val="en-US"/>
        </w:rPr>
        <w:t>J Korean Med Sci. – 2016. – Vol.31(11). – P.1717‐1725. </w:t>
      </w:r>
    </w:p>
    <w:p w:rsidR="00C04F24" w:rsidRPr="00C04F24" w:rsidRDefault="00C04F24" w:rsidP="00C04F24">
      <w:pPr>
        <w:numPr>
          <w:ilvl w:val="0"/>
          <w:numId w:val="15"/>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Wang, C.H.</w:t>
      </w:r>
      <w:r w:rsidRPr="00C04F24">
        <w:rPr>
          <w:rFonts w:ascii="Times New Roman" w:eastAsia="Calibri" w:hAnsi="Times New Roman" w:cs="Times New Roman"/>
          <w:sz w:val="28"/>
          <w:szCs w:val="28"/>
          <w:lang w:val="en-US"/>
        </w:rPr>
        <w:t xml:space="preserve"> Persistence of lung inflammation and lung cytokines with high‐resolution CT abnormalities during recovery from SARS </w:t>
      </w:r>
      <w:r w:rsidRPr="00C04F24">
        <w:rPr>
          <w:rFonts w:ascii="Times New Roman" w:eastAsia="Times New Roman" w:hAnsi="Times New Roman" w:cs="Times New Roman"/>
          <w:sz w:val="28"/>
          <w:szCs w:val="28"/>
          <w:lang w:val="en-US" w:eastAsia="ru-RU"/>
        </w:rPr>
        <w:t xml:space="preserve">[Text] / C.H. Wang, C.Y. Liu, Y.L. Wan et al. // </w:t>
      </w:r>
      <w:r w:rsidRPr="00C04F24">
        <w:rPr>
          <w:rFonts w:ascii="Times New Roman" w:eastAsia="Calibri" w:hAnsi="Times New Roman" w:cs="Times New Roman"/>
          <w:sz w:val="28"/>
          <w:szCs w:val="28"/>
          <w:lang w:val="en-US"/>
        </w:rPr>
        <w:t>Respir Res. – 2005. – Vol.6. – P.42. </w:t>
      </w:r>
    </w:p>
    <w:p w:rsidR="00C04F24" w:rsidRPr="00C04F24" w:rsidRDefault="00C04F24" w:rsidP="00C04F24">
      <w:pPr>
        <w:numPr>
          <w:ilvl w:val="0"/>
          <w:numId w:val="15"/>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lastRenderedPageBreak/>
        <w:t>Garcia‐Sastre, A.</w:t>
      </w:r>
      <w:r w:rsidRPr="00C04F24">
        <w:rPr>
          <w:rFonts w:ascii="Times New Roman" w:eastAsia="Calibri" w:hAnsi="Times New Roman" w:cs="Times New Roman"/>
          <w:sz w:val="28"/>
          <w:szCs w:val="28"/>
          <w:lang w:val="en-US"/>
        </w:rPr>
        <w:t xml:space="preserve"> Type 1 interferons and the virus‐host relationship: a lesson in détente </w:t>
      </w:r>
      <w:r w:rsidRPr="00C04F24">
        <w:rPr>
          <w:rFonts w:ascii="Times New Roman" w:eastAsia="Times New Roman" w:hAnsi="Times New Roman" w:cs="Times New Roman"/>
          <w:sz w:val="28"/>
          <w:szCs w:val="28"/>
          <w:lang w:val="en-US" w:eastAsia="ru-RU"/>
        </w:rPr>
        <w:t xml:space="preserve">[Text] / A. Garcia-Sastre, C.A. Biron // </w:t>
      </w:r>
      <w:r w:rsidRPr="00C04F24">
        <w:rPr>
          <w:rFonts w:ascii="Times New Roman" w:eastAsia="Calibri" w:hAnsi="Times New Roman" w:cs="Times New Roman"/>
          <w:sz w:val="28"/>
          <w:szCs w:val="28"/>
          <w:lang w:val="en-US"/>
        </w:rPr>
        <w:t xml:space="preserve">Science. -2006. – Vol.312(5775). – P.879‐882. </w:t>
      </w:r>
    </w:p>
    <w:p w:rsidR="00C04F24" w:rsidRPr="00C04F24" w:rsidRDefault="00C04F24" w:rsidP="00C04F24">
      <w:pPr>
        <w:numPr>
          <w:ilvl w:val="0"/>
          <w:numId w:val="15"/>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Channappanavar, R. </w:t>
      </w:r>
      <w:r w:rsidRPr="00C04F24">
        <w:rPr>
          <w:rFonts w:ascii="Times New Roman" w:eastAsia="Calibri" w:hAnsi="Times New Roman" w:cs="Times New Roman"/>
          <w:sz w:val="28"/>
          <w:szCs w:val="28"/>
          <w:lang w:val="en-US"/>
        </w:rPr>
        <w:t xml:space="preserve">IFN‐I response timing relative to virus replication determines MERS coronavirus infection outcomes </w:t>
      </w:r>
      <w:r w:rsidRPr="00C04F24">
        <w:rPr>
          <w:rFonts w:ascii="Times New Roman" w:eastAsia="Times New Roman" w:hAnsi="Times New Roman" w:cs="Times New Roman"/>
          <w:sz w:val="28"/>
          <w:szCs w:val="28"/>
          <w:lang w:val="en-US" w:eastAsia="ru-RU"/>
        </w:rPr>
        <w:t xml:space="preserve">[Text] / R. Channappanavar, A.R. Fehr, J. Zheng et al. // </w:t>
      </w:r>
      <w:r w:rsidRPr="00C04F24">
        <w:rPr>
          <w:rFonts w:ascii="Times New Roman" w:eastAsia="Calibri" w:hAnsi="Times New Roman" w:cs="Times New Roman"/>
          <w:sz w:val="28"/>
          <w:szCs w:val="28"/>
          <w:lang w:val="en-US"/>
        </w:rPr>
        <w:t>J Clin Invest. – 2019. – Vol.130. – P.3625‐3639. </w:t>
      </w:r>
    </w:p>
    <w:p w:rsidR="00C04F24" w:rsidRPr="00C04F24" w:rsidRDefault="00C04F24" w:rsidP="00C04F24">
      <w:pPr>
        <w:numPr>
          <w:ilvl w:val="0"/>
          <w:numId w:val="15"/>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Coperchini, F.</w:t>
      </w:r>
      <w:r w:rsidRPr="00C04F24">
        <w:rPr>
          <w:rFonts w:ascii="Times New Roman" w:eastAsia="Calibri" w:hAnsi="Times New Roman" w:cs="Times New Roman"/>
          <w:sz w:val="28"/>
          <w:szCs w:val="28"/>
          <w:lang w:val="en-US"/>
        </w:rPr>
        <w:t xml:space="preserve"> The cytokine storm in COVID‐19: An overview of the involvement of the chemokine/chemokine‐receptor system </w:t>
      </w:r>
      <w:r w:rsidRPr="00C04F24">
        <w:rPr>
          <w:rFonts w:ascii="Times New Roman" w:eastAsia="Times New Roman" w:hAnsi="Times New Roman" w:cs="Times New Roman"/>
          <w:sz w:val="28"/>
          <w:szCs w:val="28"/>
          <w:lang w:val="en-US" w:eastAsia="ru-RU"/>
        </w:rPr>
        <w:t xml:space="preserve">[Text] / F.Coperchini, L.Chiovato, L. Croce et al. // </w:t>
      </w:r>
      <w:r w:rsidRPr="00C04F24">
        <w:rPr>
          <w:rFonts w:ascii="Times New Roman" w:eastAsia="Calibri" w:hAnsi="Times New Roman" w:cs="Times New Roman"/>
          <w:sz w:val="28"/>
          <w:szCs w:val="28"/>
          <w:lang w:val="en-US"/>
        </w:rPr>
        <w:t>Cytokine Growth Fac Rev. - 2020. – Vol.52. – P.25-32/ </w:t>
      </w:r>
    </w:p>
    <w:p w:rsidR="00C04F24" w:rsidRPr="00C04F24" w:rsidRDefault="00C04F24" w:rsidP="00C04F24">
      <w:pPr>
        <w:numPr>
          <w:ilvl w:val="0"/>
          <w:numId w:val="15"/>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Channappanavar, R.</w:t>
      </w:r>
      <w:r w:rsidRPr="00C04F24">
        <w:rPr>
          <w:rFonts w:ascii="Times New Roman" w:eastAsia="Calibri" w:hAnsi="Times New Roman" w:cs="Times New Roman"/>
          <w:sz w:val="28"/>
          <w:szCs w:val="28"/>
          <w:lang w:val="en-US"/>
        </w:rPr>
        <w:t xml:space="preserve"> Dysregulated Type I Interferon and Inflammatory Monocyte‐Macrophage Responses Cause Lethal Pneumonia in SARS‐CoV‐Infected Mice [Text] / R.Channappanavar, A.R. Fehr, R.Vijay et al. // Cell Host Microbe. – 2016. – Vol.19(2). – P.181‐193. </w:t>
      </w:r>
    </w:p>
    <w:p w:rsidR="00C04F24" w:rsidRPr="00C04F24" w:rsidRDefault="00C04F24" w:rsidP="00C04F24">
      <w:pPr>
        <w:numPr>
          <w:ilvl w:val="0"/>
          <w:numId w:val="15"/>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Hogner, K.</w:t>
      </w:r>
      <w:r w:rsidRPr="00C04F24">
        <w:rPr>
          <w:rFonts w:ascii="Times New Roman" w:eastAsia="Calibri" w:hAnsi="Times New Roman" w:cs="Times New Roman"/>
          <w:sz w:val="28"/>
          <w:szCs w:val="28"/>
          <w:lang w:val="en-US"/>
        </w:rPr>
        <w:t xml:space="preserve"> Macrophage‐expressed IFN‐beta contributes to apoptotic alveolar epithelial cell injury in severe influenza virus pneumonia </w:t>
      </w:r>
      <w:r w:rsidRPr="00C04F24">
        <w:rPr>
          <w:rFonts w:ascii="Times New Roman" w:eastAsia="Times New Roman" w:hAnsi="Times New Roman" w:cs="Times New Roman"/>
          <w:sz w:val="28"/>
          <w:szCs w:val="28"/>
          <w:lang w:val="en-US" w:eastAsia="ru-RU"/>
        </w:rPr>
        <w:t xml:space="preserve">[Text] / K.Hogner, T.Wolff, S. Pleshcka et al. // </w:t>
      </w:r>
      <w:r w:rsidRPr="00C04F24">
        <w:rPr>
          <w:rFonts w:ascii="Times New Roman" w:eastAsia="Calibri" w:hAnsi="Times New Roman" w:cs="Times New Roman"/>
          <w:sz w:val="28"/>
          <w:szCs w:val="28"/>
          <w:lang w:val="en-US"/>
        </w:rPr>
        <w:t>PLoS Pathog. -2013. -Vol.9(2). – P.e1003188. </w:t>
      </w:r>
    </w:p>
    <w:p w:rsidR="00C04F24" w:rsidRPr="00C04F24" w:rsidRDefault="00C04F24" w:rsidP="00C04F24">
      <w:pPr>
        <w:numPr>
          <w:ilvl w:val="0"/>
          <w:numId w:val="15"/>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Rodrigue‐Gervais, I.G.</w:t>
      </w:r>
      <w:r w:rsidRPr="00C04F24">
        <w:rPr>
          <w:rFonts w:ascii="Times New Roman" w:eastAsia="Calibri" w:hAnsi="Times New Roman" w:cs="Times New Roman"/>
          <w:sz w:val="28"/>
          <w:szCs w:val="28"/>
          <w:lang w:val="en-US"/>
        </w:rPr>
        <w:t xml:space="preserve"> Cellular inhibitor of apoptosis protein cIAP2 protects against pulmonary tissue necrosis during influenza virus infection to promote host survival </w:t>
      </w:r>
      <w:r w:rsidRPr="00C04F24">
        <w:rPr>
          <w:rFonts w:ascii="Times New Roman" w:eastAsia="Times New Roman" w:hAnsi="Times New Roman" w:cs="Times New Roman"/>
          <w:sz w:val="28"/>
          <w:szCs w:val="28"/>
          <w:lang w:val="en-US" w:eastAsia="ru-RU"/>
        </w:rPr>
        <w:t>[Text] / I.G. Rodrigue-Gervais, K.Labbe, M. Dagenais et al. //</w:t>
      </w:r>
      <w:r w:rsidRPr="00C04F24">
        <w:rPr>
          <w:rFonts w:ascii="Times New Roman" w:eastAsia="Calibri" w:hAnsi="Times New Roman" w:cs="Times New Roman"/>
          <w:sz w:val="28"/>
          <w:szCs w:val="28"/>
          <w:lang w:val="en-US"/>
        </w:rPr>
        <w:t xml:space="preserve"> Cell Host Microbe. – 2014. – Vol.15(1). – P.23‐35. </w:t>
      </w:r>
    </w:p>
    <w:p w:rsidR="00C04F24" w:rsidRPr="00C04F24" w:rsidRDefault="00C04F24" w:rsidP="00C04F24">
      <w:pPr>
        <w:numPr>
          <w:ilvl w:val="0"/>
          <w:numId w:val="15"/>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Wu, F.</w:t>
      </w:r>
      <w:r w:rsidRPr="00C04F24">
        <w:rPr>
          <w:rFonts w:ascii="Times New Roman" w:eastAsia="Calibri" w:hAnsi="Times New Roman" w:cs="Times New Roman"/>
          <w:sz w:val="28"/>
          <w:szCs w:val="28"/>
          <w:lang w:val="en-US"/>
        </w:rPr>
        <w:t xml:space="preserve"> A new coronavirus associated with human respiratory disease in China </w:t>
      </w:r>
      <w:r w:rsidRPr="00C04F24">
        <w:rPr>
          <w:rFonts w:ascii="Times New Roman" w:eastAsia="Times New Roman" w:hAnsi="Times New Roman" w:cs="Times New Roman"/>
          <w:sz w:val="28"/>
          <w:szCs w:val="28"/>
          <w:lang w:val="en-US" w:eastAsia="ru-RU"/>
        </w:rPr>
        <w:t>[Text] / F.Wu, S.Zhao, B.Yu et al. //</w:t>
      </w:r>
      <w:r w:rsidRPr="00C04F24">
        <w:rPr>
          <w:rFonts w:ascii="Times New Roman" w:eastAsia="Calibri" w:hAnsi="Times New Roman" w:cs="Times New Roman"/>
          <w:sz w:val="28"/>
          <w:szCs w:val="28"/>
          <w:lang w:val="en-US"/>
        </w:rPr>
        <w:t> Nature. -  2020. - vol.579(7798). – P.265‐269. </w:t>
      </w:r>
    </w:p>
    <w:p w:rsidR="00C04F24" w:rsidRPr="00C04F24" w:rsidRDefault="00C04F24" w:rsidP="00C04F24">
      <w:pPr>
        <w:numPr>
          <w:ilvl w:val="0"/>
          <w:numId w:val="15"/>
        </w:numPr>
        <w:shd w:val="clear" w:color="auto" w:fill="FFFFFF"/>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lang w:val="en-US"/>
        </w:rPr>
        <w:t> Du, Y.</w:t>
      </w:r>
      <w:r w:rsidRPr="00C04F24">
        <w:rPr>
          <w:rFonts w:ascii="Times New Roman" w:eastAsia="Calibri" w:hAnsi="Times New Roman" w:cs="Times New Roman"/>
          <w:sz w:val="28"/>
          <w:szCs w:val="28"/>
          <w:lang w:val="en-US"/>
        </w:rPr>
        <w:t xml:space="preserve"> Clinical Features of 85 Fatal Cases of COVID‐19 from Wuhan. A Retrospective Observational Study </w:t>
      </w:r>
      <w:r w:rsidRPr="00C04F24">
        <w:rPr>
          <w:rFonts w:ascii="Times New Roman" w:eastAsia="Times New Roman" w:hAnsi="Times New Roman" w:cs="Times New Roman"/>
          <w:sz w:val="28"/>
          <w:szCs w:val="28"/>
          <w:lang w:val="en-US" w:eastAsia="ru-RU"/>
        </w:rPr>
        <w:t>[Text] / Y.Du, L. Tu, P.Zhu et al. //</w:t>
      </w:r>
      <w:r w:rsidRPr="00C04F24">
        <w:rPr>
          <w:rFonts w:ascii="Times New Roman" w:eastAsia="Calibri" w:hAnsi="Times New Roman" w:cs="Times New Roman"/>
          <w:sz w:val="28"/>
          <w:szCs w:val="28"/>
          <w:lang w:val="en-US"/>
        </w:rPr>
        <w:t> Am J Respir Crit Care Med. – 2020. – Vol.201(11). – P.1372‐1379.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shd w:val="clear" w:color="auto" w:fill="FFFFFF"/>
          <w:lang w:val="en-US"/>
        </w:rPr>
        <w:t>Cao, X.</w:t>
      </w:r>
      <w:r w:rsidRPr="00C04F24">
        <w:rPr>
          <w:rFonts w:ascii="Times New Roman" w:eastAsia="Calibri" w:hAnsi="Times New Roman" w:cs="Times New Roman"/>
          <w:sz w:val="28"/>
          <w:szCs w:val="28"/>
          <w:shd w:val="clear" w:color="auto" w:fill="FFFFFF"/>
          <w:lang w:val="en-US"/>
        </w:rPr>
        <w:t xml:space="preserve"> COVID‐19: immunopathology and its implications for therapy </w:t>
      </w:r>
      <w:r w:rsidRPr="00C04F24">
        <w:rPr>
          <w:rFonts w:ascii="Times New Roman" w:eastAsia="Times New Roman" w:hAnsi="Times New Roman" w:cs="Times New Roman"/>
          <w:sz w:val="28"/>
          <w:szCs w:val="28"/>
          <w:lang w:val="en-US" w:eastAsia="ru-RU"/>
        </w:rPr>
        <w:t xml:space="preserve">[Text] / X.Cao // </w:t>
      </w:r>
      <w:r w:rsidRPr="00C04F24">
        <w:rPr>
          <w:rFonts w:ascii="Times New Roman" w:eastAsia="Calibri" w:hAnsi="Times New Roman" w:cs="Times New Roman"/>
          <w:sz w:val="28"/>
          <w:szCs w:val="28"/>
          <w:shd w:val="clear" w:color="auto" w:fill="FFFFFF"/>
          <w:lang w:val="en-US"/>
        </w:rPr>
        <w:t>Nat Rev Immunol. – 2020. – Vol.20(5). – P.269‐270.</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lang w:val="en-US"/>
        </w:rPr>
        <w:t xml:space="preserve">Xu, Z. </w:t>
      </w:r>
      <w:r w:rsidRPr="00C04F24">
        <w:rPr>
          <w:rFonts w:ascii="Times New Roman" w:eastAsia="Calibri" w:hAnsi="Times New Roman" w:cs="Times New Roman"/>
          <w:sz w:val="28"/>
          <w:szCs w:val="28"/>
          <w:lang w:val="en-US"/>
        </w:rPr>
        <w:t xml:space="preserve">Pathological findings of COVID‐19 associated with acute respiratory distress syndrome </w:t>
      </w:r>
      <w:r w:rsidRPr="00C04F24">
        <w:rPr>
          <w:rFonts w:ascii="Times New Roman" w:eastAsia="Times New Roman" w:hAnsi="Times New Roman" w:cs="Times New Roman"/>
          <w:sz w:val="28"/>
          <w:szCs w:val="28"/>
          <w:lang w:val="en-US" w:eastAsia="ru-RU"/>
        </w:rPr>
        <w:t xml:space="preserve">[Text] / Z.Xu, L.Shi, Y. Wang et al. // </w:t>
      </w:r>
      <w:r w:rsidRPr="00C04F24">
        <w:rPr>
          <w:rFonts w:ascii="Times New Roman" w:eastAsia="Calibri" w:hAnsi="Times New Roman" w:cs="Times New Roman"/>
          <w:sz w:val="28"/>
          <w:szCs w:val="28"/>
          <w:lang w:val="en-US"/>
        </w:rPr>
        <w:t>Lancet Respir Med. – 2020. – Vol.8(4). – P.420‐422.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lastRenderedPageBreak/>
        <w:t>Wang, D.</w:t>
      </w:r>
      <w:r w:rsidRPr="00C04F24">
        <w:rPr>
          <w:rFonts w:ascii="Times New Roman" w:eastAsia="Calibri" w:hAnsi="Times New Roman" w:cs="Times New Roman"/>
          <w:sz w:val="28"/>
          <w:szCs w:val="28"/>
          <w:lang w:val="en-US"/>
        </w:rPr>
        <w:t xml:space="preserve"> Clinical Characteristics of 138 Hospitalized Patients With 2019 Novel Coronavirus‐Infected Pneumonia in Wuhan, China </w:t>
      </w:r>
      <w:r w:rsidRPr="00C04F24">
        <w:rPr>
          <w:rFonts w:ascii="Times New Roman" w:eastAsia="Times New Roman" w:hAnsi="Times New Roman" w:cs="Times New Roman"/>
          <w:sz w:val="28"/>
          <w:szCs w:val="28"/>
          <w:lang w:val="en-US" w:eastAsia="ru-RU"/>
        </w:rPr>
        <w:t>[Text] / D.Wang, B. Hu, C. Hu et al. //</w:t>
      </w:r>
      <w:r w:rsidRPr="00C04F24">
        <w:rPr>
          <w:rFonts w:ascii="Times New Roman" w:eastAsia="Calibri" w:hAnsi="Times New Roman" w:cs="Times New Roman"/>
          <w:sz w:val="28"/>
          <w:szCs w:val="28"/>
          <w:lang w:val="en-US"/>
        </w:rPr>
        <w:t> JAMA. – 2020. – Vol.323(11). – P.1061–1069.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Li, Y.X.</w:t>
      </w:r>
      <w:r w:rsidRPr="00C04F24">
        <w:rPr>
          <w:rFonts w:ascii="Times New Roman" w:eastAsia="Calibri" w:hAnsi="Times New Roman" w:cs="Times New Roman"/>
          <w:sz w:val="28"/>
          <w:szCs w:val="28"/>
          <w:lang w:val="en-US"/>
        </w:rPr>
        <w:t xml:space="preserve">  Characteristics of peripheral blood leukocyte differential counts in patients with COVID‐19 </w:t>
      </w:r>
      <w:r w:rsidRPr="00C04F24">
        <w:rPr>
          <w:rFonts w:ascii="Times New Roman" w:eastAsia="Times New Roman" w:hAnsi="Times New Roman" w:cs="Times New Roman"/>
          <w:sz w:val="28"/>
          <w:szCs w:val="28"/>
          <w:lang w:val="en-US" w:eastAsia="ru-RU"/>
        </w:rPr>
        <w:t>[Text] / Y.X. Li, W.Wu, T.Yang et al. //</w:t>
      </w:r>
      <w:r w:rsidRPr="00C04F24">
        <w:rPr>
          <w:rFonts w:ascii="Times New Roman" w:eastAsia="Calibri" w:hAnsi="Times New Roman" w:cs="Times New Roman"/>
          <w:sz w:val="28"/>
          <w:szCs w:val="28"/>
          <w:lang w:val="en-US"/>
        </w:rPr>
        <w:t xml:space="preserve"> Zhonghua Nei Ke Za Zhi. – 2020. – Vol.59. – P.E003.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lang w:val="en-US"/>
        </w:rPr>
        <w:t>Lindsley, A.W.</w:t>
      </w:r>
      <w:r w:rsidRPr="00C04F24">
        <w:rPr>
          <w:rFonts w:ascii="Times New Roman" w:eastAsia="Calibri" w:hAnsi="Times New Roman" w:cs="Times New Roman"/>
          <w:sz w:val="28"/>
          <w:szCs w:val="28"/>
          <w:lang w:val="en-US"/>
        </w:rPr>
        <w:t xml:space="preserve"> Eosinophil responses during COVID‐19 infections and coronavirus vaccination </w:t>
      </w:r>
      <w:r w:rsidRPr="00C04F24">
        <w:rPr>
          <w:rFonts w:ascii="Times New Roman" w:eastAsia="Times New Roman" w:hAnsi="Times New Roman" w:cs="Times New Roman"/>
          <w:sz w:val="28"/>
          <w:szCs w:val="28"/>
          <w:lang w:val="en-US" w:eastAsia="ru-RU"/>
        </w:rPr>
        <w:t>[Text] / A.W. Lindsley, J.T. Schwartz, M.E. Rothenberg //</w:t>
      </w:r>
      <w:r w:rsidRPr="00C04F24">
        <w:rPr>
          <w:rFonts w:ascii="Times New Roman" w:eastAsia="Calibri" w:hAnsi="Times New Roman" w:cs="Times New Roman"/>
          <w:sz w:val="28"/>
          <w:szCs w:val="28"/>
          <w:lang w:val="en-US"/>
        </w:rPr>
        <w:t> J Allergy Clin Immunol. – 2020. – Vol.146(1). – P.1–7.</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shd w:val="clear" w:color="auto" w:fill="FFFFFF"/>
          <w:lang w:val="en-US"/>
        </w:rPr>
        <w:t>Tabachnikova, A.</w:t>
      </w:r>
      <w:r w:rsidRPr="00C04F24">
        <w:rPr>
          <w:rFonts w:ascii="Times New Roman" w:eastAsia="Calibri" w:hAnsi="Times New Roman" w:cs="Times New Roman"/>
          <w:sz w:val="28"/>
          <w:szCs w:val="28"/>
          <w:shd w:val="clear" w:color="auto" w:fill="FFFFFF"/>
          <w:lang w:val="en-US"/>
        </w:rPr>
        <w:t xml:space="preserve"> Roles for eosinophils and basophils in COVID‐19? </w:t>
      </w:r>
      <w:r w:rsidRPr="00C04F24">
        <w:rPr>
          <w:rFonts w:ascii="Times New Roman" w:eastAsia="Times New Roman" w:hAnsi="Times New Roman" w:cs="Times New Roman"/>
          <w:sz w:val="28"/>
          <w:szCs w:val="28"/>
          <w:lang w:val="en-US" w:eastAsia="ru-RU"/>
        </w:rPr>
        <w:t xml:space="preserve">[Text] / A.Tabachnikova, S.T. Chen // </w:t>
      </w:r>
      <w:r w:rsidRPr="00C04F24">
        <w:rPr>
          <w:rFonts w:ascii="Times New Roman" w:eastAsia="Calibri" w:hAnsi="Times New Roman" w:cs="Times New Roman"/>
          <w:sz w:val="28"/>
          <w:szCs w:val="28"/>
          <w:shd w:val="clear" w:color="auto" w:fill="FFFFFF"/>
          <w:lang w:val="en-US"/>
        </w:rPr>
        <w:t>Nat Rev Immunol. – 2020. – Vol.20(8). – P.461.</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lang w:val="en-US"/>
        </w:rPr>
        <w:t>Xiang‐Hua, Y.</w:t>
      </w:r>
      <w:r w:rsidRPr="00C04F24">
        <w:rPr>
          <w:rFonts w:ascii="Times New Roman" w:eastAsia="Calibri" w:hAnsi="Times New Roman" w:cs="Times New Roman"/>
          <w:sz w:val="28"/>
          <w:szCs w:val="28"/>
          <w:lang w:val="en-US"/>
        </w:rPr>
        <w:t xml:space="preserve"> Severe acute respiratory syndrome and venous thromboembolism in multiple organs </w:t>
      </w:r>
      <w:r w:rsidRPr="00C04F24">
        <w:rPr>
          <w:rFonts w:ascii="Times New Roman" w:eastAsia="Times New Roman" w:hAnsi="Times New Roman" w:cs="Times New Roman"/>
          <w:sz w:val="28"/>
          <w:szCs w:val="28"/>
          <w:lang w:val="en-US" w:eastAsia="ru-RU"/>
        </w:rPr>
        <w:t>[Text] / Y. Xiang-Hua, W. Le-Min, L.Ai-Bin et al. //</w:t>
      </w:r>
      <w:r w:rsidRPr="00C04F24">
        <w:rPr>
          <w:rFonts w:ascii="Times New Roman" w:eastAsia="Calibri" w:hAnsi="Times New Roman" w:cs="Times New Roman"/>
          <w:sz w:val="28"/>
          <w:szCs w:val="28"/>
          <w:lang w:val="en-US"/>
        </w:rPr>
        <w:t xml:space="preserve"> Am J Respir Crit Care Med. – 2010. – Vol.182(3). – P.436‐437.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Zhang, Y.</w:t>
      </w:r>
      <w:r w:rsidRPr="00C04F24">
        <w:rPr>
          <w:rFonts w:ascii="Times New Roman" w:eastAsia="Calibri" w:hAnsi="Times New Roman" w:cs="Times New Roman"/>
          <w:sz w:val="28"/>
          <w:szCs w:val="28"/>
          <w:lang w:val="en-US"/>
        </w:rPr>
        <w:t xml:space="preserve"> Coagulopathy and antiphospholipid antibodies in patients with Covid‐19 </w:t>
      </w:r>
      <w:r w:rsidRPr="00C04F24">
        <w:rPr>
          <w:rFonts w:ascii="Times New Roman" w:eastAsia="Times New Roman" w:hAnsi="Times New Roman" w:cs="Times New Roman"/>
          <w:sz w:val="28"/>
          <w:szCs w:val="28"/>
          <w:lang w:val="en-US" w:eastAsia="ru-RU"/>
        </w:rPr>
        <w:t>[Text] / Y. Zhang, M. Xiao, S. Zhang et al. //</w:t>
      </w:r>
      <w:r w:rsidRPr="00C04F24">
        <w:rPr>
          <w:rFonts w:ascii="Times New Roman" w:eastAsia="Calibri" w:hAnsi="Times New Roman" w:cs="Times New Roman"/>
          <w:sz w:val="28"/>
          <w:szCs w:val="28"/>
          <w:lang w:val="en-US"/>
        </w:rPr>
        <w:t> N Engl J Med. – 2020. – Vol.382(17). – P.e38.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Levi, M. </w:t>
      </w:r>
      <w:r w:rsidRPr="00C04F24">
        <w:rPr>
          <w:rFonts w:ascii="Times New Roman" w:eastAsia="Calibri" w:hAnsi="Times New Roman" w:cs="Times New Roman"/>
          <w:sz w:val="28"/>
          <w:szCs w:val="28"/>
          <w:lang w:val="en-US"/>
        </w:rPr>
        <w:t xml:space="preserve">Metabolic modulation of inflammation‐induced activation of coagulation </w:t>
      </w:r>
      <w:r w:rsidRPr="00C04F24">
        <w:rPr>
          <w:rFonts w:ascii="Times New Roman" w:eastAsia="Times New Roman" w:hAnsi="Times New Roman" w:cs="Times New Roman"/>
          <w:sz w:val="28"/>
          <w:szCs w:val="28"/>
          <w:lang w:val="en-US" w:eastAsia="ru-RU"/>
        </w:rPr>
        <w:t xml:space="preserve">[Text] / M. Levi, M. Nieuwdorp, e.Stroes et al. // </w:t>
      </w:r>
      <w:r w:rsidRPr="00C04F24">
        <w:rPr>
          <w:rFonts w:ascii="Times New Roman" w:eastAsia="Calibri" w:hAnsi="Times New Roman" w:cs="Times New Roman"/>
          <w:sz w:val="28"/>
          <w:szCs w:val="28"/>
          <w:lang w:val="en-US"/>
        </w:rPr>
        <w:t xml:space="preserve">Semin Thromb Hemost. – 2008. – Vol.34(1). – P.26‐32.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Imai, Y</w:t>
      </w:r>
      <w:r w:rsidRPr="00C04F24">
        <w:rPr>
          <w:rFonts w:ascii="Times New Roman" w:eastAsia="Calibri" w:hAnsi="Times New Roman" w:cs="Times New Roman"/>
          <w:sz w:val="28"/>
          <w:szCs w:val="28"/>
          <w:lang w:val="en-US"/>
        </w:rPr>
        <w:t xml:space="preserve">. Identification of oxidative stress and Toll‐like receptor 4 signaling as a key pathway of acute lung injury </w:t>
      </w:r>
      <w:r w:rsidRPr="00C04F24">
        <w:rPr>
          <w:rFonts w:ascii="Times New Roman" w:eastAsia="Times New Roman" w:hAnsi="Times New Roman" w:cs="Times New Roman"/>
          <w:sz w:val="28"/>
          <w:szCs w:val="28"/>
          <w:lang w:val="en-US" w:eastAsia="ru-RU"/>
        </w:rPr>
        <w:t xml:space="preserve">[Text] / Y.Imai, K.Kuba, G.G. Neely et al. // </w:t>
      </w:r>
      <w:r w:rsidRPr="00C04F24">
        <w:rPr>
          <w:rFonts w:ascii="Times New Roman" w:eastAsia="Calibri" w:hAnsi="Times New Roman" w:cs="Times New Roman"/>
          <w:sz w:val="28"/>
          <w:szCs w:val="28"/>
          <w:lang w:val="en-US"/>
        </w:rPr>
        <w:t>Cell. – 2008. – Vol.133(2). – P.235‐249.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Hamming, I.</w:t>
      </w:r>
      <w:r w:rsidRPr="00C04F24">
        <w:rPr>
          <w:rFonts w:ascii="Times New Roman" w:eastAsia="Calibri" w:hAnsi="Times New Roman" w:cs="Times New Roman"/>
          <w:sz w:val="28"/>
          <w:szCs w:val="28"/>
          <w:lang w:val="en-US"/>
        </w:rPr>
        <w:t xml:space="preserve"> Tissue distribution of ACE2 protein, the functional receptor for SARS coronavirus. A first step in understanding SARS pathogenesis </w:t>
      </w:r>
      <w:r w:rsidRPr="00C04F24">
        <w:rPr>
          <w:rFonts w:ascii="Times New Roman" w:eastAsia="Times New Roman" w:hAnsi="Times New Roman" w:cs="Times New Roman"/>
          <w:sz w:val="28"/>
          <w:szCs w:val="28"/>
          <w:lang w:val="en-US" w:eastAsia="ru-RU"/>
        </w:rPr>
        <w:t xml:space="preserve">[Text] / I. Hamming, W.Timens, M.L.Bulthuis et al. // </w:t>
      </w:r>
      <w:r w:rsidRPr="00C04F24">
        <w:rPr>
          <w:rFonts w:ascii="Times New Roman" w:eastAsia="Calibri" w:hAnsi="Times New Roman" w:cs="Times New Roman"/>
          <w:sz w:val="28"/>
          <w:szCs w:val="28"/>
          <w:lang w:val="en-US"/>
        </w:rPr>
        <w:t>J Pathol. – 2004. – Vol.203(2). – P.631‐637.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Chen, L.</w:t>
      </w:r>
      <w:r w:rsidRPr="00C04F24">
        <w:rPr>
          <w:rFonts w:ascii="Times New Roman" w:eastAsia="Calibri" w:hAnsi="Times New Roman" w:cs="Times New Roman"/>
          <w:sz w:val="28"/>
          <w:szCs w:val="28"/>
          <w:lang w:val="en-US"/>
        </w:rPr>
        <w:t xml:space="preserve"> The ACE2 expression in human heart indicates new potential mechanism of heart injury among patients infected with SARS‐CoV‐2 </w:t>
      </w:r>
      <w:r w:rsidRPr="00C04F24">
        <w:rPr>
          <w:rFonts w:ascii="Times New Roman" w:eastAsia="Times New Roman" w:hAnsi="Times New Roman" w:cs="Times New Roman"/>
          <w:sz w:val="28"/>
          <w:szCs w:val="28"/>
          <w:lang w:val="en-US" w:eastAsia="ru-RU"/>
        </w:rPr>
        <w:t xml:space="preserve">[Text] / </w:t>
      </w:r>
      <w:r w:rsidRPr="00C04F24">
        <w:rPr>
          <w:rFonts w:ascii="Times New Roman" w:eastAsia="Times New Roman" w:hAnsi="Times New Roman" w:cs="Times New Roman"/>
          <w:sz w:val="28"/>
          <w:szCs w:val="28"/>
          <w:lang w:val="en-US" w:eastAsia="ru-RU"/>
        </w:rPr>
        <w:lastRenderedPageBreak/>
        <w:t>L.Chen, X.Li, M.Chen et al. //</w:t>
      </w:r>
      <w:r w:rsidRPr="00C04F24">
        <w:rPr>
          <w:rFonts w:ascii="Times New Roman" w:eastAsia="Calibri" w:hAnsi="Times New Roman" w:cs="Times New Roman"/>
          <w:sz w:val="28"/>
          <w:szCs w:val="28"/>
          <w:lang w:val="en-US"/>
        </w:rPr>
        <w:t> Cardiovasc Res.  – 2020. – Vol.116(6). – P.1097‐1100.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Team, C.C‐R.</w:t>
      </w:r>
      <w:r w:rsidRPr="00C04F24">
        <w:rPr>
          <w:rFonts w:ascii="Times New Roman" w:eastAsia="Calibri" w:hAnsi="Times New Roman" w:cs="Times New Roman"/>
          <w:sz w:val="28"/>
          <w:szCs w:val="28"/>
          <w:lang w:val="en-US"/>
        </w:rPr>
        <w:t xml:space="preserve"> Coronavirus Disease 2019 in Children ‐ United States, February 12‐April 2, 2020 </w:t>
      </w:r>
      <w:r w:rsidRPr="00C04F24">
        <w:rPr>
          <w:rFonts w:ascii="Times New Roman" w:eastAsia="Times New Roman" w:hAnsi="Times New Roman" w:cs="Times New Roman"/>
          <w:sz w:val="28"/>
          <w:szCs w:val="28"/>
          <w:lang w:val="en-US" w:eastAsia="ru-RU"/>
        </w:rPr>
        <w:t xml:space="preserve">[Text] / C.C.-R. Team // </w:t>
      </w:r>
      <w:r w:rsidRPr="00C04F24">
        <w:rPr>
          <w:rFonts w:ascii="Times New Roman" w:eastAsia="Calibri" w:hAnsi="Times New Roman" w:cs="Times New Roman"/>
          <w:sz w:val="28"/>
          <w:szCs w:val="28"/>
          <w:lang w:val="en-US"/>
        </w:rPr>
        <w:t>MMWR Morb Mortal Wkly Rep. – 2020. – Vol.69(14). – P.422‐426.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Verdoni, L.</w:t>
      </w:r>
      <w:r w:rsidRPr="00C04F24">
        <w:rPr>
          <w:rFonts w:ascii="Times New Roman" w:eastAsia="Calibri" w:hAnsi="Times New Roman" w:cs="Times New Roman"/>
          <w:sz w:val="28"/>
          <w:szCs w:val="28"/>
          <w:lang w:val="en-US"/>
        </w:rPr>
        <w:t xml:space="preserve"> An outbreak of severe Kawasaki‐like disease at the Italian epicentre of the SARS‐CoV‐2 epidemic: an observational cohort study </w:t>
      </w:r>
      <w:r w:rsidRPr="00C04F24">
        <w:rPr>
          <w:rFonts w:ascii="Times New Roman" w:eastAsia="Times New Roman" w:hAnsi="Times New Roman" w:cs="Times New Roman"/>
          <w:sz w:val="28"/>
          <w:szCs w:val="28"/>
          <w:lang w:val="en-US" w:eastAsia="ru-RU"/>
        </w:rPr>
        <w:t xml:space="preserve">[Text] / L.Verdoni, A. Mazza, A.Gervasoni et al. // </w:t>
      </w:r>
      <w:r w:rsidRPr="00C04F24">
        <w:rPr>
          <w:rFonts w:ascii="Times New Roman" w:eastAsia="Calibri" w:hAnsi="Times New Roman" w:cs="Times New Roman"/>
          <w:sz w:val="28"/>
          <w:szCs w:val="28"/>
          <w:lang w:val="en-US"/>
        </w:rPr>
        <w:t>Lancet. -  2020. – Vol.392(10239). – P.1771–1778.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Viner, R.M.</w:t>
      </w:r>
      <w:r w:rsidRPr="00C04F24">
        <w:rPr>
          <w:rFonts w:ascii="Times New Roman" w:eastAsia="Calibri" w:hAnsi="Times New Roman" w:cs="Times New Roman"/>
          <w:sz w:val="28"/>
          <w:szCs w:val="28"/>
          <w:lang w:val="en-US"/>
        </w:rPr>
        <w:t xml:space="preserve"> Kawasaki‐like disease: emerging complication during the COVID‐19 pandemic </w:t>
      </w:r>
      <w:r w:rsidRPr="00C04F24">
        <w:rPr>
          <w:rFonts w:ascii="Times New Roman" w:eastAsia="Times New Roman" w:hAnsi="Times New Roman" w:cs="Times New Roman"/>
          <w:sz w:val="28"/>
          <w:szCs w:val="28"/>
          <w:lang w:val="en-US" w:eastAsia="ru-RU"/>
        </w:rPr>
        <w:t xml:space="preserve">[Text] / R.M. Viner, E.Whittaker // </w:t>
      </w:r>
      <w:r w:rsidRPr="00C04F24">
        <w:rPr>
          <w:rFonts w:ascii="Times New Roman" w:eastAsia="Calibri" w:hAnsi="Times New Roman" w:cs="Times New Roman"/>
          <w:sz w:val="28"/>
          <w:szCs w:val="28"/>
          <w:lang w:val="en-US"/>
        </w:rPr>
        <w:t>Lancet. -2020. – Vol.395(10239). – P.1741–1743.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lang w:val="en-US"/>
        </w:rPr>
        <w:t>Kato, H.</w:t>
      </w:r>
      <w:r w:rsidRPr="00C04F24">
        <w:rPr>
          <w:rFonts w:ascii="Times New Roman" w:eastAsia="Calibri" w:hAnsi="Times New Roman" w:cs="Times New Roman"/>
          <w:sz w:val="28"/>
          <w:szCs w:val="28"/>
          <w:lang w:val="en-US"/>
        </w:rPr>
        <w:t xml:space="preserve"> Long‐term consequences of Kawasaki disease. A 10‐ to 21‐year follow‐up study of 594 patients. </w:t>
      </w:r>
      <w:r w:rsidRPr="00C04F24">
        <w:rPr>
          <w:rFonts w:ascii="Times New Roman" w:eastAsia="Times New Roman" w:hAnsi="Times New Roman" w:cs="Times New Roman"/>
          <w:sz w:val="28"/>
          <w:szCs w:val="28"/>
          <w:lang w:val="en-US" w:eastAsia="ru-RU"/>
        </w:rPr>
        <w:t>[Text] / H. Kato, T.Sugimira, T.Akagi et al. //</w:t>
      </w:r>
      <w:r w:rsidRPr="00C04F24">
        <w:rPr>
          <w:rFonts w:ascii="Times New Roman" w:eastAsia="Calibri" w:hAnsi="Times New Roman" w:cs="Times New Roman"/>
          <w:sz w:val="28"/>
          <w:szCs w:val="28"/>
          <w:lang w:val="en-US"/>
        </w:rPr>
        <w:t> Circulation. – 1996. – Vol.94(6). – P.1379‐1385.</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Cambria" w:eastAsia="Calibri" w:hAnsi="Cambria" w:cs="Cambria"/>
          <w:color w:val="000000"/>
          <w:sz w:val="24"/>
          <w:szCs w:val="24"/>
        </w:rPr>
      </w:pPr>
      <w:r w:rsidRPr="00C04F24">
        <w:rPr>
          <w:rFonts w:ascii="Times New Roman" w:eastAsia="Calibri" w:hAnsi="Times New Roman" w:cs="Times New Roman"/>
          <w:b/>
          <w:bCs/>
          <w:sz w:val="28"/>
          <w:szCs w:val="28"/>
          <w:lang w:val="en-US"/>
        </w:rPr>
        <w:t>Aykac, K.</w:t>
      </w:r>
      <w:r w:rsidRPr="00C04F24">
        <w:rPr>
          <w:rFonts w:ascii="Times New Roman" w:eastAsia="Calibri" w:hAnsi="Times New Roman" w:cs="Times New Roman"/>
          <w:sz w:val="28"/>
          <w:szCs w:val="28"/>
          <w:lang w:val="en-US"/>
        </w:rPr>
        <w:t xml:space="preserve"> Oxidant and antioxidant balance in patients with COVID-19 </w:t>
      </w:r>
      <w:r w:rsidRPr="00C04F24">
        <w:rPr>
          <w:rFonts w:ascii="Times New Roman" w:eastAsia="Times New Roman" w:hAnsi="Times New Roman" w:cs="Times New Roman"/>
          <w:sz w:val="28"/>
          <w:szCs w:val="28"/>
          <w:lang w:val="en-US" w:eastAsia="ru-RU"/>
        </w:rPr>
        <w:t xml:space="preserve">[Text] / K. Aykac, Y.Ozsurekci, B.C.C. Yayla et al. // </w:t>
      </w:r>
      <w:r w:rsidRPr="00C04F24">
        <w:rPr>
          <w:rFonts w:ascii="Times New Roman" w:eastAsia="Calibri" w:hAnsi="Times New Roman" w:cs="Times New Roman"/>
          <w:sz w:val="28"/>
          <w:szCs w:val="28"/>
          <w:lang w:val="en-US"/>
        </w:rPr>
        <w:t>Pediatr. Pulmonol.</w:t>
      </w:r>
      <w:r w:rsidRPr="00C04F24">
        <w:rPr>
          <w:rFonts w:ascii="Cambria" w:eastAsia="Calibri" w:hAnsi="Cambria" w:cs="Cambria"/>
          <w:color w:val="000000"/>
          <w:sz w:val="24"/>
          <w:szCs w:val="24"/>
          <w:lang w:val="en-US"/>
        </w:rPr>
        <w:t xml:space="preserve"> – </w:t>
      </w:r>
      <w:r w:rsidRPr="00C04F24">
        <w:rPr>
          <w:rFonts w:ascii="Times New Roman" w:eastAsia="Calibri" w:hAnsi="Times New Roman" w:cs="Times New Roman"/>
          <w:sz w:val="28"/>
          <w:szCs w:val="28"/>
          <w:lang w:val="en-US"/>
        </w:rPr>
        <w:t xml:space="preserve">2021. – Vol.56. – P.2803–2810.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lang w:val="en-US"/>
        </w:rPr>
        <w:t>Cecchini, R.</w:t>
      </w:r>
      <w:r w:rsidRPr="00C04F24">
        <w:rPr>
          <w:rFonts w:ascii="Times New Roman" w:eastAsia="Calibri" w:hAnsi="Times New Roman" w:cs="Times New Roman"/>
          <w:sz w:val="28"/>
          <w:szCs w:val="28"/>
          <w:lang w:val="en-US"/>
        </w:rPr>
        <w:t xml:space="preserve"> SARS-CoV-2 infection pathogenesis is related to oxidative stress as a response to aggression </w:t>
      </w:r>
      <w:r w:rsidRPr="00C04F24">
        <w:rPr>
          <w:rFonts w:ascii="Times New Roman" w:eastAsia="Times New Roman" w:hAnsi="Times New Roman" w:cs="Times New Roman"/>
          <w:sz w:val="28"/>
          <w:szCs w:val="28"/>
          <w:lang w:val="en-US" w:eastAsia="ru-RU"/>
        </w:rPr>
        <w:t xml:space="preserve">[Text] / R. Cecchini, A.L.Ceccini // </w:t>
      </w:r>
      <w:r w:rsidRPr="00C04F24">
        <w:rPr>
          <w:rFonts w:ascii="Times New Roman" w:eastAsia="Calibri" w:hAnsi="Times New Roman" w:cs="Times New Roman"/>
          <w:sz w:val="28"/>
          <w:szCs w:val="28"/>
          <w:lang w:val="en-US"/>
        </w:rPr>
        <w:t>Med. Hypotheses</w:t>
      </w:r>
      <w:r w:rsidRPr="00C04F24">
        <w:rPr>
          <w:rFonts w:ascii="Times New Roman" w:eastAsia="Calibri" w:hAnsi="Times New Roman" w:cs="Times New Roman"/>
          <w:i/>
          <w:iCs/>
          <w:sz w:val="28"/>
          <w:szCs w:val="28"/>
          <w:lang w:val="en-US"/>
        </w:rPr>
        <w:t xml:space="preserve">. – </w:t>
      </w:r>
      <w:r w:rsidRPr="00C04F24">
        <w:rPr>
          <w:rFonts w:ascii="Times New Roman" w:eastAsia="Calibri" w:hAnsi="Times New Roman" w:cs="Times New Roman"/>
          <w:sz w:val="28"/>
          <w:szCs w:val="28"/>
          <w:lang w:val="en-US"/>
        </w:rPr>
        <w:t xml:space="preserve">2020. – Vol.143. – P.110102.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lang w:val="en-US"/>
        </w:rPr>
        <w:t>Pincemail, J.</w:t>
      </w:r>
      <w:r w:rsidRPr="00C04F24">
        <w:rPr>
          <w:rFonts w:ascii="Times New Roman" w:eastAsia="Calibri" w:hAnsi="Times New Roman" w:cs="Times New Roman"/>
          <w:sz w:val="28"/>
          <w:szCs w:val="28"/>
          <w:lang w:val="en-US"/>
        </w:rPr>
        <w:t xml:space="preserve"> Oxidative stress status in COVID-19 patients hospitalized in intensive care unit for severe pneumonia </w:t>
      </w:r>
      <w:r w:rsidRPr="00C04F24">
        <w:rPr>
          <w:rFonts w:ascii="Times New Roman" w:eastAsia="Times New Roman" w:hAnsi="Times New Roman" w:cs="Times New Roman"/>
          <w:sz w:val="28"/>
          <w:szCs w:val="28"/>
          <w:lang w:val="en-US" w:eastAsia="ru-RU"/>
        </w:rPr>
        <w:t xml:space="preserve">[Text] / J. Pincemail, E.Cavalier, C.Charlier et al. // </w:t>
      </w:r>
      <w:r w:rsidRPr="00C04F24">
        <w:rPr>
          <w:rFonts w:ascii="Times New Roman" w:eastAsia="Calibri" w:hAnsi="Times New Roman" w:cs="Times New Roman"/>
          <w:sz w:val="28"/>
          <w:szCs w:val="28"/>
          <w:lang w:val="en-US"/>
        </w:rPr>
        <w:t> A Pilot Study, Antioxidants (Basel).</w:t>
      </w:r>
      <w:r w:rsidRPr="00C04F24">
        <w:rPr>
          <w:rFonts w:ascii="Cambria" w:eastAsia="Calibri" w:hAnsi="Cambria" w:cs="Cambria"/>
          <w:color w:val="000000"/>
          <w:sz w:val="24"/>
          <w:szCs w:val="24"/>
          <w:lang w:val="en-US"/>
        </w:rPr>
        <w:t xml:space="preserve"> – </w:t>
      </w:r>
      <w:r w:rsidRPr="00C04F24">
        <w:rPr>
          <w:rFonts w:ascii="Times New Roman" w:eastAsia="Calibri" w:hAnsi="Times New Roman" w:cs="Times New Roman"/>
          <w:sz w:val="28"/>
          <w:szCs w:val="28"/>
          <w:lang w:val="en-US"/>
        </w:rPr>
        <w:t xml:space="preserve">2021. – Vol.10. – P.257.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Karkhanei, B.</w:t>
      </w:r>
      <w:r w:rsidRPr="00C04F24">
        <w:rPr>
          <w:rFonts w:ascii="Times New Roman" w:eastAsia="Calibri" w:hAnsi="Times New Roman" w:cs="Times New Roman"/>
          <w:sz w:val="28"/>
          <w:szCs w:val="28"/>
          <w:lang w:val="en-US"/>
        </w:rPr>
        <w:t xml:space="preserve"> Evaluation of oxidative stress level: total antioxidant capacity, total oxidant status and glutathione activity in patients with COVID-19 </w:t>
      </w:r>
      <w:r w:rsidRPr="00C04F24">
        <w:rPr>
          <w:rFonts w:ascii="Times New Roman" w:eastAsia="Times New Roman" w:hAnsi="Times New Roman" w:cs="Times New Roman"/>
          <w:sz w:val="28"/>
          <w:szCs w:val="28"/>
          <w:lang w:val="en-US" w:eastAsia="ru-RU"/>
        </w:rPr>
        <w:t xml:space="preserve">[Text] / B. Karkhanei, E. Tabeli Ghane, F.Mehri // </w:t>
      </w:r>
      <w:r w:rsidRPr="00C04F24">
        <w:rPr>
          <w:rFonts w:ascii="Times New Roman" w:eastAsia="Calibri" w:hAnsi="Times New Roman" w:cs="Times New Roman"/>
          <w:sz w:val="28"/>
          <w:szCs w:val="28"/>
          <w:lang w:val="en-US"/>
        </w:rPr>
        <w:t>New Microbes New Infect.</w:t>
      </w:r>
      <w:r w:rsidRPr="00C04F24">
        <w:rPr>
          <w:rFonts w:ascii="Times New Roman" w:eastAsia="Calibri" w:hAnsi="Times New Roman" w:cs="Times New Roman"/>
          <w:i/>
          <w:iCs/>
          <w:sz w:val="28"/>
          <w:szCs w:val="28"/>
          <w:lang w:val="en-US"/>
        </w:rPr>
        <w:t xml:space="preserve"> -  </w:t>
      </w:r>
      <w:r w:rsidRPr="00C04F24">
        <w:rPr>
          <w:rFonts w:ascii="Times New Roman" w:eastAsia="Calibri" w:hAnsi="Times New Roman" w:cs="Times New Roman"/>
          <w:sz w:val="28"/>
          <w:szCs w:val="28"/>
          <w:lang w:val="en-US"/>
        </w:rPr>
        <w:t>2021. – Vol.42. – P.100897.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lang w:val="en-US"/>
        </w:rPr>
        <w:t>Gadotti, A.C.</w:t>
      </w:r>
      <w:r w:rsidRPr="00C04F24">
        <w:rPr>
          <w:rFonts w:ascii="Times New Roman" w:eastAsia="Calibri" w:hAnsi="Times New Roman" w:cs="Times New Roman"/>
          <w:sz w:val="28"/>
          <w:szCs w:val="28"/>
          <w:lang w:val="en-US"/>
        </w:rPr>
        <w:t xml:space="preserve"> Susceptibility of the patients infected with Sars-Cov2 to oxidative stress and possible interplay with severity of the disease </w:t>
      </w:r>
      <w:r w:rsidRPr="00C04F24">
        <w:rPr>
          <w:rFonts w:ascii="Times New Roman" w:eastAsia="Times New Roman" w:hAnsi="Times New Roman" w:cs="Times New Roman"/>
          <w:sz w:val="28"/>
          <w:szCs w:val="28"/>
          <w:lang w:val="en-US" w:eastAsia="ru-RU"/>
        </w:rPr>
        <w:t xml:space="preserve">Vasconcellos </w:t>
      </w:r>
      <w:r w:rsidRPr="00C04F24">
        <w:rPr>
          <w:rFonts w:ascii="Times New Roman" w:eastAsia="Times New Roman" w:hAnsi="Times New Roman" w:cs="Times New Roman"/>
          <w:sz w:val="28"/>
          <w:szCs w:val="28"/>
          <w:lang w:val="en-US" w:eastAsia="ru-RU"/>
        </w:rPr>
        <w:lastRenderedPageBreak/>
        <w:t xml:space="preserve">[Text] / A.C. Gadotti, A.L. Lipinski et al. // </w:t>
      </w:r>
      <w:r w:rsidRPr="00C04F24">
        <w:rPr>
          <w:rFonts w:ascii="Times New Roman" w:eastAsia="Calibri" w:hAnsi="Times New Roman" w:cs="Times New Roman"/>
          <w:sz w:val="28"/>
          <w:szCs w:val="28"/>
          <w:lang w:val="en-US"/>
        </w:rPr>
        <w:t>Free Radic. Biol.Med.</w:t>
      </w:r>
      <w:r w:rsidRPr="00C04F24">
        <w:rPr>
          <w:rFonts w:ascii="Times New Roman" w:eastAsia="Calibri" w:hAnsi="Times New Roman" w:cs="Times New Roman"/>
          <w:i/>
          <w:iCs/>
          <w:sz w:val="28"/>
          <w:szCs w:val="28"/>
          <w:lang w:val="en-US"/>
        </w:rPr>
        <w:t> </w:t>
      </w:r>
      <w:r w:rsidRPr="00C04F24">
        <w:rPr>
          <w:rFonts w:ascii="Times New Roman" w:eastAsia="Calibri" w:hAnsi="Times New Roman" w:cs="Times New Roman"/>
          <w:sz w:val="28"/>
          <w:szCs w:val="28"/>
          <w:lang w:val="en-US"/>
        </w:rPr>
        <w:t xml:space="preserve">– 2021. – Vol.165. – P.184–190.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Martín-Fernández, M.</w:t>
      </w:r>
      <w:r w:rsidRPr="00C04F24">
        <w:rPr>
          <w:rFonts w:ascii="Times New Roman" w:eastAsia="Calibri" w:hAnsi="Times New Roman" w:cs="Times New Roman"/>
          <w:sz w:val="28"/>
          <w:szCs w:val="28"/>
          <w:lang w:val="en-US"/>
        </w:rPr>
        <w:t xml:space="preserve"> Lipid peroxidation as a hallmark of severity in COVID-19 patients </w:t>
      </w:r>
      <w:r w:rsidRPr="00C04F24">
        <w:rPr>
          <w:rFonts w:ascii="Times New Roman" w:eastAsia="Times New Roman" w:hAnsi="Times New Roman" w:cs="Times New Roman"/>
          <w:sz w:val="28"/>
          <w:szCs w:val="28"/>
          <w:lang w:val="en-US" w:eastAsia="ru-RU"/>
        </w:rPr>
        <w:t xml:space="preserve">[Text] / M. Martin-Fernandez, R. Aller, M. Heredia-Rodriguez et al. // </w:t>
      </w:r>
      <w:r w:rsidRPr="00C04F24">
        <w:rPr>
          <w:rFonts w:ascii="Times New Roman" w:eastAsia="Calibri" w:hAnsi="Times New Roman" w:cs="Times New Roman"/>
          <w:sz w:val="28"/>
          <w:szCs w:val="28"/>
          <w:lang w:val="en-US"/>
        </w:rPr>
        <w:t xml:space="preserve">Redox Biol. – 2021. – Vol.48. – P.102-181.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shd w:val="clear" w:color="auto" w:fill="FFFFFF"/>
          <w:lang w:val="en-US"/>
        </w:rPr>
        <w:t>Sena, C.M.</w:t>
      </w:r>
      <w:r w:rsidRPr="00C04F24">
        <w:rPr>
          <w:rFonts w:ascii="Times New Roman" w:eastAsia="Calibri" w:hAnsi="Times New Roman" w:cs="Times New Roman"/>
          <w:sz w:val="28"/>
          <w:szCs w:val="28"/>
          <w:shd w:val="clear" w:color="auto" w:fill="FFFFFF"/>
          <w:lang w:val="en-US"/>
        </w:rPr>
        <w:t xml:space="preserve"> Vascular oxidative stress: impact and therapeutic approaches </w:t>
      </w:r>
      <w:r w:rsidRPr="00C04F24">
        <w:rPr>
          <w:rFonts w:ascii="Times New Roman" w:eastAsia="Times New Roman" w:hAnsi="Times New Roman" w:cs="Times New Roman"/>
          <w:sz w:val="28"/>
          <w:szCs w:val="28"/>
          <w:lang w:val="en-US" w:eastAsia="ru-RU"/>
        </w:rPr>
        <w:t>[Text] / C.M.</w:t>
      </w:r>
      <w:r w:rsidRPr="00C04F24">
        <w:rPr>
          <w:rFonts w:ascii="Times New Roman" w:eastAsia="Calibri" w:hAnsi="Times New Roman" w:cs="Times New Roman"/>
          <w:sz w:val="28"/>
          <w:szCs w:val="28"/>
          <w:shd w:val="clear" w:color="auto" w:fill="FFFFFF"/>
          <w:lang w:val="en-US"/>
        </w:rPr>
        <w:t xml:space="preserve"> Sena, A. Leandro, L.Azul et al. // Front. Physiol.</w:t>
      </w:r>
      <w:r w:rsidRPr="00C04F24">
        <w:rPr>
          <w:rFonts w:ascii="Times New Roman" w:eastAsia="Calibri" w:hAnsi="Times New Roman" w:cs="Times New Roman"/>
          <w:i/>
          <w:iCs/>
          <w:sz w:val="28"/>
          <w:szCs w:val="28"/>
          <w:shd w:val="clear" w:color="auto" w:fill="FFFFFF"/>
          <w:lang w:val="en-US"/>
        </w:rPr>
        <w:t> </w:t>
      </w:r>
      <w:r w:rsidRPr="00C04F24">
        <w:rPr>
          <w:rFonts w:ascii="Times New Roman" w:eastAsia="Calibri" w:hAnsi="Times New Roman" w:cs="Times New Roman"/>
          <w:sz w:val="28"/>
          <w:szCs w:val="28"/>
          <w:shd w:val="clear" w:color="auto" w:fill="FFFFFF"/>
          <w:lang w:val="en-US"/>
        </w:rPr>
        <w:t xml:space="preserve">– 2018. – Vol.9. – P.1668.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lang w:val="en-US"/>
        </w:rPr>
        <w:t>Suhail, S.</w:t>
      </w:r>
      <w:r w:rsidRPr="00C04F24">
        <w:rPr>
          <w:rFonts w:ascii="Times New Roman" w:eastAsia="Calibri" w:hAnsi="Times New Roman" w:cs="Times New Roman"/>
          <w:sz w:val="28"/>
          <w:szCs w:val="28"/>
          <w:lang w:val="en-US"/>
        </w:rPr>
        <w:t xml:space="preserve"> Role of oxidative stress on SARS-CoV (sars) and SARS-CoV-2 (COVID-19) infection: a review </w:t>
      </w:r>
      <w:r w:rsidRPr="00C04F24">
        <w:rPr>
          <w:rFonts w:ascii="Times New Roman" w:eastAsia="Times New Roman" w:hAnsi="Times New Roman" w:cs="Times New Roman"/>
          <w:sz w:val="28"/>
          <w:szCs w:val="28"/>
          <w:lang w:val="en-US" w:eastAsia="ru-RU"/>
        </w:rPr>
        <w:t xml:space="preserve">[Text] / S. Suhail, J.Zajac, C.Fossum et al. // </w:t>
      </w:r>
      <w:r w:rsidRPr="00C04F24">
        <w:rPr>
          <w:rFonts w:ascii="Times New Roman" w:eastAsia="Calibri" w:hAnsi="Times New Roman" w:cs="Times New Roman"/>
          <w:sz w:val="28"/>
          <w:szCs w:val="28"/>
          <w:lang w:val="en-US"/>
        </w:rPr>
        <w:t>Protein J.</w:t>
      </w:r>
      <w:r w:rsidRPr="00C04F24">
        <w:rPr>
          <w:rFonts w:ascii="Times New Roman" w:eastAsia="Calibri" w:hAnsi="Times New Roman" w:cs="Times New Roman"/>
          <w:i/>
          <w:iCs/>
          <w:sz w:val="28"/>
          <w:szCs w:val="28"/>
          <w:lang w:val="en-US"/>
        </w:rPr>
        <w:t> </w:t>
      </w:r>
      <w:r w:rsidRPr="00C04F24">
        <w:rPr>
          <w:rFonts w:ascii="Times New Roman" w:eastAsia="Calibri" w:hAnsi="Times New Roman" w:cs="Times New Roman"/>
          <w:sz w:val="28"/>
          <w:szCs w:val="28"/>
          <w:lang w:val="en-US"/>
        </w:rPr>
        <w:t xml:space="preserve">– 2020.- P.1–13.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Cambria" w:eastAsia="Calibri" w:hAnsi="Cambria" w:cs="Cambria"/>
          <w:color w:val="000000"/>
          <w:sz w:val="24"/>
          <w:szCs w:val="24"/>
        </w:rPr>
      </w:pPr>
      <w:r w:rsidRPr="00C04F24">
        <w:rPr>
          <w:rFonts w:ascii="Times New Roman" w:eastAsia="Calibri" w:hAnsi="Times New Roman" w:cs="Times New Roman"/>
          <w:b/>
          <w:bCs/>
          <w:sz w:val="28"/>
          <w:szCs w:val="28"/>
          <w:lang w:val="en-US"/>
        </w:rPr>
        <w:t>Lovren, F.</w:t>
      </w:r>
      <w:r w:rsidRPr="00C04F24">
        <w:rPr>
          <w:rFonts w:ascii="Times New Roman" w:eastAsia="Calibri" w:hAnsi="Times New Roman" w:cs="Times New Roman"/>
          <w:sz w:val="28"/>
          <w:szCs w:val="28"/>
          <w:lang w:val="en-US"/>
        </w:rPr>
        <w:t xml:space="preserve"> Angiotensin converting enzyme-2 confers endothelial protection and attenuates atherosclerosis </w:t>
      </w:r>
      <w:r w:rsidRPr="00C04F24">
        <w:rPr>
          <w:rFonts w:ascii="Times New Roman" w:eastAsia="Times New Roman" w:hAnsi="Times New Roman" w:cs="Times New Roman"/>
          <w:sz w:val="28"/>
          <w:szCs w:val="28"/>
          <w:lang w:val="en-US" w:eastAsia="ru-RU"/>
        </w:rPr>
        <w:t xml:space="preserve">[Text] / F. Lovren, Y.Pan, A.Quan et al. // </w:t>
      </w:r>
      <w:r w:rsidRPr="00C04F24">
        <w:rPr>
          <w:rFonts w:ascii="Times New Roman" w:eastAsia="Calibri" w:hAnsi="Times New Roman" w:cs="Times New Roman"/>
          <w:sz w:val="28"/>
          <w:szCs w:val="28"/>
          <w:lang w:val="en-US"/>
        </w:rPr>
        <w:t>Am. J. Physiol. Heart Circ. Physiol.</w:t>
      </w:r>
      <w:r w:rsidRPr="00C04F24">
        <w:rPr>
          <w:rFonts w:ascii="Times New Roman" w:eastAsia="Calibri" w:hAnsi="Times New Roman" w:cs="Times New Roman"/>
          <w:i/>
          <w:iCs/>
          <w:sz w:val="28"/>
          <w:szCs w:val="28"/>
          <w:lang w:val="en-US"/>
        </w:rPr>
        <w:t> </w:t>
      </w:r>
      <w:r w:rsidRPr="00C04F24">
        <w:rPr>
          <w:rFonts w:ascii="Times New Roman" w:eastAsia="Calibri" w:hAnsi="Times New Roman" w:cs="Times New Roman"/>
          <w:sz w:val="28"/>
          <w:szCs w:val="28"/>
          <w:lang w:val="en-US"/>
        </w:rPr>
        <w:t xml:space="preserve">– 2008. – Vol.295. – P.H1377–H1384.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lang w:val="en-US"/>
        </w:rPr>
        <w:t>Daiber, A.</w:t>
      </w:r>
      <w:r w:rsidRPr="00C04F24">
        <w:rPr>
          <w:rFonts w:ascii="Times New Roman" w:eastAsia="Calibri" w:hAnsi="Times New Roman" w:cs="Times New Roman"/>
          <w:sz w:val="28"/>
          <w:szCs w:val="28"/>
          <w:lang w:val="en-US"/>
        </w:rPr>
        <w:t xml:space="preserve"> Redox-related biomarkers in human cardiovascular disease - classical footprints and beyond </w:t>
      </w:r>
      <w:r w:rsidRPr="00C04F24">
        <w:rPr>
          <w:rFonts w:ascii="Times New Roman" w:eastAsia="Times New Roman" w:hAnsi="Times New Roman" w:cs="Times New Roman"/>
          <w:sz w:val="28"/>
          <w:szCs w:val="28"/>
          <w:lang w:val="en-US" w:eastAsia="ru-RU"/>
        </w:rPr>
        <w:t xml:space="preserve">[Text] / A.Daiber, O.Hahad, I. Andreadou et al. // </w:t>
      </w:r>
      <w:r w:rsidRPr="00C04F24">
        <w:rPr>
          <w:rFonts w:ascii="Times New Roman" w:eastAsia="Calibri" w:hAnsi="Times New Roman" w:cs="Times New Roman"/>
          <w:sz w:val="28"/>
          <w:szCs w:val="28"/>
          <w:lang w:val="en-US"/>
        </w:rPr>
        <w:t>Redox Biol.</w:t>
      </w:r>
      <w:r w:rsidRPr="00C04F24">
        <w:rPr>
          <w:rFonts w:ascii="Times New Roman" w:eastAsia="Calibri" w:hAnsi="Times New Roman" w:cs="Times New Roman"/>
          <w:i/>
          <w:iCs/>
          <w:sz w:val="28"/>
          <w:szCs w:val="28"/>
          <w:lang w:val="en-US"/>
        </w:rPr>
        <w:t xml:space="preserve"> – </w:t>
      </w:r>
      <w:r w:rsidRPr="00C04F24">
        <w:rPr>
          <w:rFonts w:ascii="Times New Roman" w:eastAsia="Calibri" w:hAnsi="Times New Roman" w:cs="Times New Roman"/>
          <w:sz w:val="28"/>
          <w:szCs w:val="28"/>
          <w:lang w:val="en-US"/>
        </w:rPr>
        <w:t>2021. – Vol.42. – P.101875.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Chen, X.</w:t>
      </w:r>
      <w:r w:rsidRPr="00C04F24">
        <w:rPr>
          <w:rFonts w:ascii="Times New Roman" w:eastAsia="Calibri" w:hAnsi="Times New Roman" w:cs="Times New Roman"/>
          <w:sz w:val="28"/>
          <w:szCs w:val="28"/>
          <w:lang w:val="en-US"/>
        </w:rPr>
        <w:t xml:space="preserve"> Broadening horizons: the role of ferroptosis in cancer </w:t>
      </w:r>
      <w:r w:rsidRPr="00C04F24">
        <w:rPr>
          <w:rFonts w:ascii="Times New Roman" w:eastAsia="Times New Roman" w:hAnsi="Times New Roman" w:cs="Times New Roman"/>
          <w:sz w:val="28"/>
          <w:szCs w:val="28"/>
          <w:lang w:val="en-US" w:eastAsia="ru-RU"/>
        </w:rPr>
        <w:t xml:space="preserve">[Text] / X. Chen, R. Kang, G. Kroemer et al. // </w:t>
      </w:r>
      <w:r w:rsidRPr="00C04F24">
        <w:rPr>
          <w:rFonts w:ascii="Times New Roman" w:eastAsia="Calibri" w:hAnsi="Times New Roman" w:cs="Times New Roman"/>
          <w:sz w:val="28"/>
          <w:szCs w:val="28"/>
          <w:lang w:val="en-US"/>
        </w:rPr>
        <w:t>Nat. Rev. Clin. Oncol.</w:t>
      </w:r>
      <w:r w:rsidRPr="00C04F24">
        <w:rPr>
          <w:rFonts w:ascii="Times New Roman" w:eastAsia="Calibri" w:hAnsi="Times New Roman" w:cs="Times New Roman"/>
          <w:i/>
          <w:iCs/>
          <w:sz w:val="28"/>
          <w:szCs w:val="28"/>
          <w:lang w:val="en-US"/>
        </w:rPr>
        <w:t> </w:t>
      </w:r>
      <w:r w:rsidRPr="00C04F24">
        <w:rPr>
          <w:rFonts w:ascii="Times New Roman" w:eastAsia="Calibri" w:hAnsi="Times New Roman" w:cs="Times New Roman"/>
          <w:sz w:val="28"/>
          <w:szCs w:val="28"/>
          <w:lang w:val="en-US"/>
        </w:rPr>
        <w:t>– 2021.- Vol.18. – P.280–296.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Chang, Y.-T. </w:t>
      </w:r>
      <w:r w:rsidRPr="00C04F24">
        <w:rPr>
          <w:rFonts w:ascii="Times New Roman" w:eastAsia="Calibri" w:hAnsi="Times New Roman" w:cs="Times New Roman"/>
          <w:sz w:val="28"/>
          <w:szCs w:val="28"/>
          <w:lang w:val="en-US"/>
        </w:rPr>
        <w:t xml:space="preserve"> The roles of biomarkers of oxidative stress and antioxidant in alzheimer's disease: a systematic review </w:t>
      </w:r>
      <w:r w:rsidRPr="00C04F24">
        <w:rPr>
          <w:rFonts w:ascii="Times New Roman" w:eastAsia="Times New Roman" w:hAnsi="Times New Roman" w:cs="Times New Roman"/>
          <w:sz w:val="28"/>
          <w:szCs w:val="28"/>
          <w:lang w:val="en-US" w:eastAsia="ru-RU"/>
        </w:rPr>
        <w:t xml:space="preserve">[Text] / Y.-T. Chang, W.-N. Chang, N.-W.Tsai et.al. // </w:t>
      </w:r>
      <w:r w:rsidRPr="00C04F24">
        <w:rPr>
          <w:rFonts w:ascii="Times New Roman" w:eastAsia="Calibri" w:hAnsi="Times New Roman" w:cs="Times New Roman"/>
          <w:sz w:val="28"/>
          <w:szCs w:val="28"/>
          <w:lang w:val="en-US"/>
        </w:rPr>
        <w:t>BioMed Res. Int.</w:t>
      </w:r>
      <w:r w:rsidRPr="00C04F24">
        <w:rPr>
          <w:rFonts w:ascii="Times New Roman" w:eastAsia="Calibri" w:hAnsi="Times New Roman" w:cs="Times New Roman"/>
          <w:i/>
          <w:iCs/>
          <w:sz w:val="28"/>
          <w:szCs w:val="28"/>
          <w:lang w:val="en-US"/>
        </w:rPr>
        <w:t> </w:t>
      </w:r>
      <w:r w:rsidRPr="00C04F24">
        <w:rPr>
          <w:rFonts w:ascii="Times New Roman" w:eastAsia="Calibri" w:hAnsi="Times New Roman" w:cs="Times New Roman"/>
          <w:sz w:val="28"/>
          <w:szCs w:val="28"/>
          <w:lang w:val="en-US"/>
        </w:rPr>
        <w:t>– 2014. – 2014. – P.182303.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Notarnicola, M. </w:t>
      </w:r>
      <w:r w:rsidRPr="00C04F24">
        <w:rPr>
          <w:rFonts w:ascii="Times New Roman" w:eastAsia="Calibri" w:hAnsi="Times New Roman" w:cs="Times New Roman"/>
          <w:sz w:val="28"/>
          <w:szCs w:val="28"/>
          <w:lang w:val="en-US"/>
        </w:rPr>
        <w:t xml:space="preserve">Nonalcoholic fatty liver disease: focus on new biomarkers and lifestyle interventions </w:t>
      </w:r>
      <w:r w:rsidRPr="00C04F24">
        <w:rPr>
          <w:rFonts w:ascii="Times New Roman" w:eastAsia="Times New Roman" w:hAnsi="Times New Roman" w:cs="Times New Roman"/>
          <w:sz w:val="28"/>
          <w:szCs w:val="28"/>
          <w:lang w:val="en-US" w:eastAsia="ru-RU"/>
        </w:rPr>
        <w:t xml:space="preserve">[Text] / M. Notarnicola, A.R. Osella, M.G. Caruso // </w:t>
      </w:r>
      <w:r w:rsidRPr="00C04F24">
        <w:rPr>
          <w:rFonts w:ascii="Times New Roman" w:eastAsia="Calibri" w:hAnsi="Times New Roman" w:cs="Times New Roman"/>
          <w:sz w:val="28"/>
          <w:szCs w:val="28"/>
          <w:lang w:val="en-US"/>
        </w:rPr>
        <w:t>Int. J. Mol. Sci</w:t>
      </w:r>
      <w:r w:rsidRPr="00C04F24">
        <w:rPr>
          <w:rFonts w:ascii="Times New Roman" w:eastAsia="Calibri" w:hAnsi="Times New Roman" w:cs="Times New Roman"/>
          <w:i/>
          <w:iCs/>
          <w:sz w:val="28"/>
          <w:szCs w:val="28"/>
          <w:lang w:val="en-US"/>
        </w:rPr>
        <w:t xml:space="preserve">. </w:t>
      </w:r>
      <w:r w:rsidRPr="00C04F24">
        <w:rPr>
          <w:rFonts w:ascii="Times New Roman" w:eastAsia="Calibri" w:hAnsi="Times New Roman" w:cs="Times New Roman"/>
          <w:sz w:val="28"/>
          <w:szCs w:val="28"/>
          <w:lang w:val="en-US"/>
        </w:rPr>
        <w:t xml:space="preserve">– 2021. – Vol.22. – P.3899.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Gonzalo, H.</w:t>
      </w:r>
      <w:r w:rsidRPr="00C04F24">
        <w:rPr>
          <w:rFonts w:ascii="Times New Roman" w:eastAsia="Calibri" w:hAnsi="Times New Roman" w:cs="Times New Roman"/>
          <w:sz w:val="28"/>
          <w:szCs w:val="28"/>
          <w:lang w:val="en-US"/>
        </w:rPr>
        <w:t xml:space="preserve"> Lipidome analysis in multiple sclerosis reveals protein lipoxidative damage as a potential pathogenic mechanism </w:t>
      </w:r>
      <w:r w:rsidRPr="00C04F24">
        <w:rPr>
          <w:rFonts w:ascii="Times New Roman" w:eastAsia="Times New Roman" w:hAnsi="Times New Roman" w:cs="Times New Roman"/>
          <w:sz w:val="28"/>
          <w:szCs w:val="28"/>
          <w:lang w:val="en-US" w:eastAsia="ru-RU"/>
        </w:rPr>
        <w:t xml:space="preserve">[Text] / H. Gonzalo, L.Brieva, F. Tatzber et al. // </w:t>
      </w:r>
      <w:r w:rsidRPr="00C04F24">
        <w:rPr>
          <w:rFonts w:ascii="Times New Roman" w:eastAsia="Calibri" w:hAnsi="Times New Roman" w:cs="Times New Roman"/>
          <w:sz w:val="28"/>
          <w:szCs w:val="28"/>
          <w:lang w:val="en-US"/>
        </w:rPr>
        <w:t>J. Neurochem.</w:t>
      </w:r>
      <w:r w:rsidRPr="00C04F24">
        <w:rPr>
          <w:rFonts w:ascii="Times New Roman" w:eastAsia="Calibri" w:hAnsi="Times New Roman" w:cs="Times New Roman"/>
          <w:i/>
          <w:iCs/>
          <w:sz w:val="28"/>
          <w:szCs w:val="28"/>
          <w:lang w:val="en-US"/>
        </w:rPr>
        <w:t> </w:t>
      </w:r>
      <w:r w:rsidRPr="00C04F24">
        <w:rPr>
          <w:rFonts w:ascii="Times New Roman" w:eastAsia="Calibri" w:hAnsi="Times New Roman" w:cs="Times New Roman"/>
          <w:sz w:val="28"/>
          <w:szCs w:val="28"/>
          <w:lang w:val="en-US"/>
        </w:rPr>
        <w:t xml:space="preserve">– 2012. – Vol.123. – P.622–634. </w:t>
      </w:r>
    </w:p>
    <w:p w:rsidR="00C04F24" w:rsidRPr="00C04F24" w:rsidRDefault="00C04F24" w:rsidP="00C04F24">
      <w:pPr>
        <w:numPr>
          <w:ilvl w:val="0"/>
          <w:numId w:val="15"/>
        </w:numPr>
        <w:autoSpaceDE w:val="0"/>
        <w:autoSpaceDN w:val="0"/>
        <w:adjustRightInd w:val="0"/>
        <w:spacing w:after="0" w:line="360" w:lineRule="auto"/>
        <w:ind w:left="0" w:firstLine="0"/>
        <w:jc w:val="both"/>
        <w:rPr>
          <w:rFonts w:ascii="Cambria" w:eastAsia="Calibri" w:hAnsi="Cambria" w:cs="Cambria"/>
          <w:color w:val="000000"/>
          <w:sz w:val="24"/>
          <w:szCs w:val="24"/>
          <w:lang w:val="en-US"/>
        </w:rPr>
      </w:pPr>
      <w:r w:rsidRPr="00C04F24">
        <w:rPr>
          <w:rFonts w:ascii="Times New Roman" w:eastAsia="Calibri" w:hAnsi="Times New Roman" w:cs="Times New Roman"/>
          <w:b/>
          <w:bCs/>
          <w:sz w:val="28"/>
          <w:szCs w:val="28"/>
          <w:lang w:val="en-US"/>
        </w:rPr>
        <w:lastRenderedPageBreak/>
        <w:t>Paliogiannis, P.</w:t>
      </w:r>
      <w:r w:rsidRPr="00C04F24">
        <w:rPr>
          <w:rFonts w:ascii="Times New Roman" w:eastAsia="Calibri" w:hAnsi="Times New Roman" w:cs="Times New Roman"/>
          <w:sz w:val="28"/>
          <w:szCs w:val="28"/>
          <w:lang w:val="en-US"/>
        </w:rPr>
        <w:t xml:space="preserve"> Circulating malondialdehyde concentrations in patients with stable chronic obstructive pulmonary disease: a systematic review and meta-analysis </w:t>
      </w:r>
      <w:r w:rsidRPr="00C04F24">
        <w:rPr>
          <w:rFonts w:ascii="Times New Roman" w:eastAsia="Times New Roman" w:hAnsi="Times New Roman" w:cs="Times New Roman"/>
          <w:sz w:val="28"/>
          <w:szCs w:val="28"/>
          <w:lang w:val="en-US" w:eastAsia="ru-RU"/>
        </w:rPr>
        <w:t xml:space="preserve">[Text] / P.Paliogiannis, A.G. Fois, S. Sotgia et al. // </w:t>
      </w:r>
      <w:r w:rsidRPr="00C04F24">
        <w:rPr>
          <w:rFonts w:ascii="Times New Roman" w:eastAsia="Calibri" w:hAnsi="Times New Roman" w:cs="Times New Roman"/>
          <w:sz w:val="28"/>
          <w:szCs w:val="28"/>
          <w:lang w:val="en-US"/>
        </w:rPr>
        <w:t>Biomarkers Med.</w:t>
      </w:r>
      <w:r w:rsidRPr="00C04F24">
        <w:rPr>
          <w:rFonts w:ascii="Times New Roman" w:eastAsia="Calibri" w:hAnsi="Times New Roman" w:cs="Times New Roman"/>
          <w:i/>
          <w:iCs/>
          <w:sz w:val="28"/>
          <w:szCs w:val="28"/>
          <w:lang w:val="en-US"/>
        </w:rPr>
        <w:t> </w:t>
      </w:r>
      <w:r w:rsidRPr="00C04F24">
        <w:rPr>
          <w:rFonts w:ascii="Times New Roman" w:eastAsia="Calibri" w:hAnsi="Times New Roman" w:cs="Times New Roman"/>
          <w:sz w:val="28"/>
          <w:szCs w:val="28"/>
          <w:lang w:val="en-US"/>
        </w:rPr>
        <w:t xml:space="preserve">– 2018. – Vol.12. – P.771–781. </w:t>
      </w:r>
    </w:p>
    <w:p w:rsidR="00C04F24" w:rsidRPr="00C04F24" w:rsidRDefault="00C04F24" w:rsidP="00C04F24">
      <w:pPr>
        <w:numPr>
          <w:ilvl w:val="0"/>
          <w:numId w:val="15"/>
        </w:numPr>
        <w:spacing w:line="360" w:lineRule="auto"/>
        <w:ind w:left="0" w:firstLine="0"/>
        <w:contextualSpacing/>
        <w:jc w:val="both"/>
        <w:rPr>
          <w:rFonts w:ascii="Calibri" w:eastAsia="Calibri" w:hAnsi="Calibri" w:cs="Times New Roman"/>
          <w:lang w:val="en-US"/>
        </w:rPr>
      </w:pPr>
      <w:r w:rsidRPr="00C04F24">
        <w:rPr>
          <w:rFonts w:ascii="Times New Roman" w:eastAsia="Calibri" w:hAnsi="Times New Roman" w:cs="Times New Roman"/>
          <w:b/>
          <w:bCs/>
          <w:sz w:val="28"/>
          <w:szCs w:val="28"/>
          <w:lang w:val="en-US"/>
        </w:rPr>
        <w:t xml:space="preserve">Chan-Yeung, M. </w:t>
      </w:r>
      <w:r w:rsidRPr="00C04F24">
        <w:rPr>
          <w:rFonts w:ascii="Times New Roman" w:eastAsia="Calibri" w:hAnsi="Times New Roman" w:cs="Times New Roman"/>
          <w:sz w:val="28"/>
          <w:szCs w:val="28"/>
          <w:lang w:val="en-US"/>
        </w:rPr>
        <w:t xml:space="preserve"> SARS: epidemiology </w:t>
      </w:r>
      <w:r w:rsidRPr="00C04F24">
        <w:rPr>
          <w:rFonts w:ascii="Times New Roman" w:eastAsia="Times New Roman" w:hAnsi="Times New Roman" w:cs="Times New Roman"/>
          <w:sz w:val="28"/>
          <w:szCs w:val="28"/>
          <w:lang w:val="en-US" w:eastAsia="ru-RU"/>
        </w:rPr>
        <w:t>[Text] / M. Chan, R.H. Xu //</w:t>
      </w:r>
      <w:r w:rsidRPr="00C04F24">
        <w:rPr>
          <w:rFonts w:ascii="Times New Roman" w:eastAsia="Calibri" w:hAnsi="Times New Roman" w:cs="Times New Roman"/>
          <w:sz w:val="28"/>
          <w:szCs w:val="28"/>
          <w:lang w:val="en-US"/>
        </w:rPr>
        <w:t xml:space="preserve"> Respirology. – 2008. – Vol.8 (Suppl). – P.S9–S14.</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Hoffmann, M.</w:t>
      </w:r>
      <w:r w:rsidRPr="00C04F24">
        <w:rPr>
          <w:rFonts w:ascii="Times New Roman" w:eastAsia="Calibri" w:hAnsi="Times New Roman" w:cs="Times New Roman"/>
          <w:sz w:val="28"/>
          <w:szCs w:val="28"/>
          <w:lang w:val="en-US"/>
        </w:rPr>
        <w:t xml:space="preserve"> SARS-CoV-2 Cell Entry Depends on ACE2 and TMPRSS2 and Is Blocked by a Clinically Proven Protease Inhibitor </w:t>
      </w:r>
      <w:r w:rsidRPr="00C04F24">
        <w:rPr>
          <w:rFonts w:ascii="Times New Roman" w:eastAsia="Times New Roman" w:hAnsi="Times New Roman" w:cs="Times New Roman"/>
          <w:sz w:val="28"/>
          <w:szCs w:val="28"/>
          <w:lang w:val="en-US" w:eastAsia="ru-RU"/>
        </w:rPr>
        <w:t xml:space="preserve">[Text] / M. Hoffmann, H. Kleine – Weber, S. Schroeder et al. // </w:t>
      </w:r>
      <w:r w:rsidRPr="00C04F24">
        <w:rPr>
          <w:rFonts w:ascii="Times New Roman" w:eastAsia="Calibri" w:hAnsi="Times New Roman" w:cs="Times New Roman"/>
          <w:sz w:val="28"/>
          <w:szCs w:val="28"/>
          <w:lang w:val="en-US"/>
        </w:rPr>
        <w:t>Cell. . – 2020. - 02. – P.052.</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Magalhaes G.S. </w:t>
      </w:r>
      <w:r w:rsidRPr="00C04F24">
        <w:rPr>
          <w:rFonts w:ascii="Times New Roman" w:eastAsia="Calibri" w:hAnsi="Times New Roman" w:cs="Times New Roman"/>
          <w:sz w:val="28"/>
          <w:szCs w:val="28"/>
          <w:lang w:val="en-US"/>
        </w:rPr>
        <w:t xml:space="preserve">Angiotensin-(1-7) attenuates airway remodelling and hyperresponsiveness in a model of chronic allergic lung inflammation </w:t>
      </w:r>
      <w:r w:rsidRPr="00C04F24">
        <w:rPr>
          <w:rFonts w:ascii="Times New Roman" w:eastAsia="Times New Roman" w:hAnsi="Times New Roman" w:cs="Times New Roman"/>
          <w:sz w:val="28"/>
          <w:szCs w:val="28"/>
          <w:lang w:val="en-US" w:eastAsia="ru-RU"/>
        </w:rPr>
        <w:t xml:space="preserve">[Text] / G.S. Magalhaes, M.G.Rodriguez-Machado, D.Motta-Santos et al. // </w:t>
      </w:r>
      <w:r w:rsidRPr="00C04F24">
        <w:rPr>
          <w:rFonts w:ascii="Times New Roman" w:eastAsia="Calibri" w:hAnsi="Times New Roman" w:cs="Times New Roman"/>
          <w:sz w:val="28"/>
          <w:szCs w:val="28"/>
          <w:lang w:val="en-US"/>
        </w:rPr>
        <w:t>Br J Pharmacol. – 2015. – Vol.172. – P.2330–2342.</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Chen, Q. </w:t>
      </w:r>
      <w:r w:rsidRPr="00C04F24">
        <w:rPr>
          <w:rFonts w:ascii="Times New Roman" w:eastAsia="Calibri" w:hAnsi="Times New Roman" w:cs="Times New Roman"/>
          <w:sz w:val="28"/>
          <w:szCs w:val="28"/>
          <w:lang w:val="en-US"/>
        </w:rPr>
        <w:t xml:space="preserve">Angiotensin-(1-7) attenuates lung fibrosis by way of Mas receptor in acute lung injury </w:t>
      </w:r>
      <w:r w:rsidRPr="00C04F24">
        <w:rPr>
          <w:rFonts w:ascii="Times New Roman" w:eastAsia="Times New Roman" w:hAnsi="Times New Roman" w:cs="Times New Roman"/>
          <w:sz w:val="28"/>
          <w:szCs w:val="28"/>
          <w:lang w:val="en-US" w:eastAsia="ru-RU"/>
        </w:rPr>
        <w:t xml:space="preserve">[Text] / Q. Chen, Y. Yang, Y.Huang et al. // </w:t>
      </w:r>
      <w:r w:rsidRPr="00C04F24">
        <w:rPr>
          <w:rFonts w:ascii="Times New Roman" w:eastAsia="Calibri" w:hAnsi="Times New Roman" w:cs="Times New Roman"/>
          <w:sz w:val="28"/>
          <w:szCs w:val="28"/>
          <w:lang w:val="en-US"/>
        </w:rPr>
        <w:t xml:space="preserve">J Surg Res. – 2013. V- Vol.85. – P.740–747.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Li, Y.</w:t>
      </w:r>
      <w:r w:rsidRPr="00C04F24">
        <w:rPr>
          <w:rFonts w:ascii="Times New Roman" w:eastAsia="Calibri" w:hAnsi="Times New Roman" w:cs="Times New Roman"/>
          <w:sz w:val="28"/>
          <w:szCs w:val="28"/>
          <w:lang w:val="en-US"/>
        </w:rPr>
        <w:t xml:space="preserve"> Angiotensin-converting enzyme 2/angiotensin-(1-7)/Mas axis prevents lipopolysaccharide-induced apoptosis of pulmonary microvascular endothelial cells by inhibiting JNK/NF-kappaB pathways </w:t>
      </w:r>
      <w:r w:rsidRPr="00C04F24">
        <w:rPr>
          <w:rFonts w:ascii="Times New Roman" w:eastAsia="Times New Roman" w:hAnsi="Times New Roman" w:cs="Times New Roman"/>
          <w:sz w:val="28"/>
          <w:szCs w:val="28"/>
          <w:lang w:val="en-US" w:eastAsia="ru-RU"/>
        </w:rPr>
        <w:t xml:space="preserve">[Text] / Y.Li, Y.Cao, Z.Zeng et al. // </w:t>
      </w:r>
      <w:r w:rsidRPr="00C04F24">
        <w:rPr>
          <w:rFonts w:ascii="Times New Roman" w:eastAsia="Calibri" w:hAnsi="Times New Roman" w:cs="Times New Roman"/>
          <w:sz w:val="28"/>
          <w:szCs w:val="28"/>
          <w:lang w:val="en-US"/>
        </w:rPr>
        <w:t xml:space="preserve">Sci Rep. – 2015. -  Vol.5. – P.8209.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Meng, Y.</w:t>
      </w:r>
      <w:r w:rsidRPr="00C04F24">
        <w:rPr>
          <w:rFonts w:ascii="Times New Roman" w:eastAsia="Calibri" w:hAnsi="Times New Roman" w:cs="Times New Roman"/>
          <w:sz w:val="28"/>
          <w:szCs w:val="28"/>
          <w:lang w:val="en-US"/>
        </w:rPr>
        <w:t xml:space="preserve"> Angiotensin-converting enzyme 2/angiotensin-(1-7)/Mas axis protects against lung fibrosis by inhibiting the MAPK/NF-kappaB pathway </w:t>
      </w:r>
      <w:r w:rsidRPr="00C04F24">
        <w:rPr>
          <w:rFonts w:ascii="Times New Roman" w:eastAsia="Times New Roman" w:hAnsi="Times New Roman" w:cs="Times New Roman"/>
          <w:sz w:val="28"/>
          <w:szCs w:val="28"/>
          <w:lang w:val="en-US" w:eastAsia="ru-RU"/>
        </w:rPr>
        <w:t xml:space="preserve">[Text] / Y. Meng, C.H. Yu, W. Li et al. // </w:t>
      </w:r>
      <w:r w:rsidRPr="00C04F24">
        <w:rPr>
          <w:rFonts w:ascii="Times New Roman" w:eastAsia="Calibri" w:hAnsi="Times New Roman" w:cs="Times New Roman"/>
          <w:sz w:val="28"/>
          <w:szCs w:val="28"/>
          <w:lang w:val="en-US"/>
        </w:rPr>
        <w:t>Am J Respir Cell Mol Biol. – 2014. – Vol.50. – P.723–736.</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Vickers, C. </w:t>
      </w:r>
      <w:r w:rsidRPr="00C04F24">
        <w:rPr>
          <w:rFonts w:ascii="Times New Roman" w:eastAsia="Calibri" w:hAnsi="Times New Roman" w:cs="Times New Roman"/>
          <w:sz w:val="28"/>
          <w:szCs w:val="28"/>
          <w:lang w:val="en-US"/>
        </w:rPr>
        <w:t xml:space="preserve">Hydrolysis of biological peptides by human angiotensin-converting enzyme-related carboxypeptidase </w:t>
      </w:r>
      <w:r w:rsidRPr="00C04F24">
        <w:rPr>
          <w:rFonts w:ascii="Times New Roman" w:eastAsia="Times New Roman" w:hAnsi="Times New Roman" w:cs="Times New Roman"/>
          <w:sz w:val="28"/>
          <w:szCs w:val="28"/>
          <w:lang w:val="en-US" w:eastAsia="ru-RU"/>
        </w:rPr>
        <w:t xml:space="preserve">[Text] / C. Vickers, P.Hales, V. Kaushik et al. // </w:t>
      </w:r>
      <w:r w:rsidRPr="00C04F24">
        <w:rPr>
          <w:rFonts w:ascii="Times New Roman" w:eastAsia="Calibri" w:hAnsi="Times New Roman" w:cs="Times New Roman"/>
          <w:sz w:val="28"/>
          <w:szCs w:val="28"/>
          <w:lang w:val="en-US"/>
        </w:rPr>
        <w:t>J Biol Chem. . – 2002. – Vol.277. – P.14838–14843.</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Sodhi, C.P. </w:t>
      </w:r>
      <w:r w:rsidRPr="00C04F24">
        <w:rPr>
          <w:rFonts w:ascii="Times New Roman" w:eastAsia="Calibri" w:hAnsi="Times New Roman" w:cs="Times New Roman"/>
          <w:sz w:val="28"/>
          <w:szCs w:val="28"/>
          <w:lang w:val="en-US"/>
        </w:rPr>
        <w:t xml:space="preserve">Attenuation of pulmonary ACE2 activity impairs inactivation of des-Arg(9) bradykinin/BKB1R axis and facilitates LPS-induced neutrophil </w:t>
      </w:r>
      <w:r w:rsidRPr="00C04F24">
        <w:rPr>
          <w:rFonts w:ascii="Times New Roman" w:eastAsia="Calibri" w:hAnsi="Times New Roman" w:cs="Times New Roman"/>
          <w:sz w:val="28"/>
          <w:szCs w:val="28"/>
          <w:lang w:val="en-US"/>
        </w:rPr>
        <w:lastRenderedPageBreak/>
        <w:t xml:space="preserve">infiltration </w:t>
      </w:r>
      <w:r w:rsidRPr="00C04F24">
        <w:rPr>
          <w:rFonts w:ascii="Times New Roman" w:eastAsia="Times New Roman" w:hAnsi="Times New Roman" w:cs="Times New Roman"/>
          <w:sz w:val="28"/>
          <w:szCs w:val="28"/>
          <w:lang w:val="en-US" w:eastAsia="ru-RU"/>
        </w:rPr>
        <w:t xml:space="preserve">[Text] / C.P. Sodhi, C. Wohlford-Leanane, Y. Yamaguchi et al. // </w:t>
      </w:r>
      <w:r w:rsidRPr="00C04F24">
        <w:rPr>
          <w:rFonts w:ascii="Times New Roman" w:eastAsia="Calibri" w:hAnsi="Times New Roman" w:cs="Times New Roman"/>
          <w:sz w:val="28"/>
          <w:szCs w:val="28"/>
          <w:lang w:val="en-US"/>
        </w:rPr>
        <w:t>Am J Physiol Lung Cell Mol Physiol. – 2018. – Vol.314. – P.L17–L31.</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Fraga-Silva, R.A.</w:t>
      </w:r>
      <w:r w:rsidRPr="00C04F24">
        <w:rPr>
          <w:rFonts w:ascii="Times New Roman" w:eastAsia="Calibri" w:hAnsi="Times New Roman" w:cs="Times New Roman"/>
          <w:sz w:val="28"/>
          <w:szCs w:val="28"/>
          <w:lang w:val="en-US"/>
        </w:rPr>
        <w:t xml:space="preserve"> An orally active formulation of angiotensin-(1-7) produces an antithrombotic effect </w:t>
      </w:r>
      <w:r w:rsidRPr="00C04F24">
        <w:rPr>
          <w:rFonts w:ascii="Times New Roman" w:eastAsia="Times New Roman" w:hAnsi="Times New Roman" w:cs="Times New Roman"/>
          <w:sz w:val="28"/>
          <w:szCs w:val="28"/>
          <w:lang w:val="en-US" w:eastAsia="ru-RU"/>
        </w:rPr>
        <w:t xml:space="preserve">[Text] / R.A. Fraga-Silva, F.P. Costa-Fraga et al. // </w:t>
      </w:r>
      <w:r w:rsidRPr="00C04F24">
        <w:rPr>
          <w:rFonts w:ascii="Times New Roman" w:eastAsia="Calibri" w:hAnsi="Times New Roman" w:cs="Times New Roman"/>
          <w:sz w:val="28"/>
          <w:szCs w:val="28"/>
          <w:lang w:val="en-US"/>
        </w:rPr>
        <w:t>Clinics (Sao Paulo). – 2011. – Vol.66. – P.837–841.</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Fang, C.</w:t>
      </w:r>
      <w:r w:rsidRPr="00C04F24">
        <w:rPr>
          <w:rFonts w:ascii="Times New Roman" w:eastAsia="Calibri" w:hAnsi="Times New Roman" w:cs="Times New Roman"/>
          <w:sz w:val="28"/>
          <w:szCs w:val="28"/>
          <w:lang w:val="en-US"/>
        </w:rPr>
        <w:t xml:space="preserve"> Angiotensin 1-7 and Mas decrease thrombosis in Bdkrb2-/- mice by increasing NO and prostacyclin to reduce platelet spreading and glycoprotein VI activation. </w:t>
      </w:r>
      <w:r w:rsidRPr="00C04F24">
        <w:rPr>
          <w:rFonts w:ascii="Times New Roman" w:eastAsia="Times New Roman" w:hAnsi="Times New Roman" w:cs="Times New Roman"/>
          <w:sz w:val="28"/>
          <w:szCs w:val="28"/>
          <w:lang w:val="en-US" w:eastAsia="ru-RU"/>
        </w:rPr>
        <w:t xml:space="preserve">[Text] / C. Fang, E.Stavrou, A.A. Schmaier et al. // </w:t>
      </w:r>
      <w:r w:rsidRPr="00C04F24">
        <w:rPr>
          <w:rFonts w:ascii="Times New Roman" w:eastAsia="Calibri" w:hAnsi="Times New Roman" w:cs="Times New Roman"/>
          <w:sz w:val="28"/>
          <w:szCs w:val="28"/>
          <w:lang w:val="en-US"/>
        </w:rPr>
        <w:t>Blood. – 2013. – Vol.121. – P.3023–3032.</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Fraga-Silva, R. A. </w:t>
      </w:r>
      <w:r w:rsidRPr="00C04F24">
        <w:rPr>
          <w:rFonts w:ascii="Times New Roman" w:eastAsia="Calibri" w:hAnsi="Times New Roman" w:cs="Times New Roman"/>
          <w:sz w:val="28"/>
          <w:szCs w:val="28"/>
          <w:lang w:val="en-US"/>
        </w:rPr>
        <w:t xml:space="preserve">The antithrombotic effect of angiotensin-(1-7) involves mas-mediated NO release from platelets </w:t>
      </w:r>
      <w:r w:rsidRPr="00C04F24">
        <w:rPr>
          <w:rFonts w:ascii="Times New Roman" w:eastAsia="Times New Roman" w:hAnsi="Times New Roman" w:cs="Times New Roman"/>
          <w:sz w:val="28"/>
          <w:szCs w:val="28"/>
          <w:lang w:val="en-US" w:eastAsia="ru-RU"/>
        </w:rPr>
        <w:t xml:space="preserve">[Text] / R.A. Fraga-Silva, S.V. Pinheiro, A.C. Goncalves et al. // </w:t>
      </w:r>
      <w:r w:rsidRPr="00C04F24">
        <w:rPr>
          <w:rFonts w:ascii="Times New Roman" w:eastAsia="Calibri" w:hAnsi="Times New Roman" w:cs="Times New Roman"/>
          <w:sz w:val="28"/>
          <w:szCs w:val="28"/>
          <w:lang w:val="en-US"/>
        </w:rPr>
        <w:t>Mol Med. – 2008. – Vol.14. – P.28–35.</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Zhang, H. </w:t>
      </w:r>
      <w:r w:rsidRPr="00C04F24">
        <w:rPr>
          <w:rFonts w:ascii="Times New Roman" w:eastAsia="Calibri" w:hAnsi="Times New Roman" w:cs="Times New Roman"/>
          <w:sz w:val="28"/>
          <w:szCs w:val="28"/>
          <w:lang w:val="en-US"/>
        </w:rPr>
        <w:t xml:space="preserve">Angiotensin-converting enzyme 2 (ACE2) as a SARS-CoV-2 receptor: molecular mechanisms and potential therapeutic target </w:t>
      </w:r>
      <w:r w:rsidRPr="00C04F24">
        <w:rPr>
          <w:rFonts w:ascii="Times New Roman" w:eastAsia="Times New Roman" w:hAnsi="Times New Roman" w:cs="Times New Roman"/>
          <w:sz w:val="28"/>
          <w:szCs w:val="28"/>
          <w:lang w:val="en-US" w:eastAsia="ru-RU"/>
        </w:rPr>
        <w:t xml:space="preserve">[Text] / H. Zhang, J.M. Penninger, Y.Li et al. // </w:t>
      </w:r>
      <w:r w:rsidRPr="00C04F24">
        <w:rPr>
          <w:rFonts w:ascii="Times New Roman" w:eastAsia="Calibri" w:hAnsi="Times New Roman" w:cs="Times New Roman"/>
          <w:sz w:val="28"/>
          <w:szCs w:val="28"/>
          <w:lang w:val="en-US"/>
        </w:rPr>
        <w:t>Intensive Care Med. – 2020. – P.985.</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Kuba, K. </w:t>
      </w:r>
      <w:r w:rsidRPr="00C04F24">
        <w:rPr>
          <w:rFonts w:ascii="Times New Roman" w:eastAsia="Calibri" w:hAnsi="Times New Roman" w:cs="Times New Roman"/>
          <w:sz w:val="28"/>
          <w:szCs w:val="28"/>
          <w:lang w:val="en-US"/>
        </w:rPr>
        <w:t xml:space="preserve">A crucial role of angiotensin converting enzyme 2 (ACE2) in SARS coronavirus-induced lung injury </w:t>
      </w:r>
      <w:r w:rsidRPr="00C04F24">
        <w:rPr>
          <w:rFonts w:ascii="Times New Roman" w:eastAsia="Times New Roman" w:hAnsi="Times New Roman" w:cs="Times New Roman"/>
          <w:sz w:val="28"/>
          <w:szCs w:val="28"/>
          <w:lang w:val="en-US" w:eastAsia="ru-RU"/>
        </w:rPr>
        <w:t xml:space="preserve">[Text] / K.Kuba, Y. Imai, S. Rao et al. // </w:t>
      </w:r>
      <w:r w:rsidRPr="00C04F24">
        <w:rPr>
          <w:rFonts w:ascii="Times New Roman" w:eastAsia="Calibri" w:hAnsi="Times New Roman" w:cs="Times New Roman"/>
          <w:sz w:val="28"/>
          <w:szCs w:val="28"/>
          <w:lang w:val="en-US"/>
        </w:rPr>
        <w:t>Nat Med. – 2005. – Vol.11. – P.875–879.</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Imai, Y.</w:t>
      </w:r>
      <w:r w:rsidRPr="00C04F24">
        <w:rPr>
          <w:rFonts w:ascii="Times New Roman" w:eastAsia="Calibri" w:hAnsi="Times New Roman" w:cs="Times New Roman"/>
          <w:sz w:val="28"/>
          <w:szCs w:val="28"/>
          <w:lang w:val="en-US"/>
        </w:rPr>
        <w:t xml:space="preserve"> Angiotensin-converting enzyme 2 protects from severe acute lung failure </w:t>
      </w:r>
      <w:r w:rsidRPr="00C04F24">
        <w:rPr>
          <w:rFonts w:ascii="Times New Roman" w:eastAsia="Times New Roman" w:hAnsi="Times New Roman" w:cs="Times New Roman"/>
          <w:sz w:val="28"/>
          <w:szCs w:val="28"/>
          <w:lang w:val="en-US" w:eastAsia="ru-RU"/>
        </w:rPr>
        <w:t xml:space="preserve">[Text] / Y.Imai, K. Kuba, S. Rao et al. // </w:t>
      </w:r>
      <w:r w:rsidRPr="00C04F24">
        <w:rPr>
          <w:rFonts w:ascii="Times New Roman" w:eastAsia="Calibri" w:hAnsi="Times New Roman" w:cs="Times New Roman"/>
          <w:sz w:val="28"/>
          <w:szCs w:val="28"/>
          <w:lang w:val="en-US"/>
        </w:rPr>
        <w:t>Nature. – 2005. – Vol.436. – P.112–116.</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Xie, X.</w:t>
      </w:r>
      <w:r w:rsidRPr="00C04F24">
        <w:rPr>
          <w:rFonts w:ascii="Times New Roman" w:eastAsia="Calibri" w:hAnsi="Times New Roman" w:cs="Times New Roman"/>
          <w:sz w:val="28"/>
          <w:szCs w:val="28"/>
          <w:lang w:val="en-US"/>
        </w:rPr>
        <w:t xml:space="preserve"> Age- and gender-related difference of ACE2 expression in rat lung </w:t>
      </w:r>
      <w:r w:rsidRPr="00C04F24">
        <w:rPr>
          <w:rFonts w:ascii="Times New Roman" w:eastAsia="Times New Roman" w:hAnsi="Times New Roman" w:cs="Times New Roman"/>
          <w:sz w:val="28"/>
          <w:szCs w:val="28"/>
          <w:lang w:val="en-US" w:eastAsia="ru-RU"/>
        </w:rPr>
        <w:t xml:space="preserve">[Text] / X. Xie, J.Chen, X.Zhang et al. // </w:t>
      </w:r>
      <w:r w:rsidRPr="00C04F24">
        <w:rPr>
          <w:rFonts w:ascii="Times New Roman" w:eastAsia="Calibri" w:hAnsi="Times New Roman" w:cs="Times New Roman"/>
          <w:sz w:val="28"/>
          <w:szCs w:val="28"/>
          <w:lang w:val="en-US"/>
        </w:rPr>
        <w:t>Life Sci. – 2006. – Vol.78. – P.2166–2171.</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Verdecchia, P. </w:t>
      </w:r>
      <w:r w:rsidRPr="00C04F24">
        <w:rPr>
          <w:rFonts w:ascii="Times New Roman" w:eastAsia="Calibri" w:hAnsi="Times New Roman" w:cs="Times New Roman"/>
          <w:sz w:val="28"/>
          <w:szCs w:val="28"/>
          <w:lang w:val="en-US"/>
        </w:rPr>
        <w:t xml:space="preserve">The pivotal link between ACE2 deficiency and SARS-CoV-2 infection </w:t>
      </w:r>
      <w:r w:rsidRPr="00C04F24">
        <w:rPr>
          <w:rFonts w:ascii="Times New Roman" w:eastAsia="Times New Roman" w:hAnsi="Times New Roman" w:cs="Times New Roman"/>
          <w:sz w:val="28"/>
          <w:szCs w:val="28"/>
          <w:lang w:val="en-US" w:eastAsia="ru-RU"/>
        </w:rPr>
        <w:t xml:space="preserve">[Text] / P.Verdecchia, C. Cavallini, A. Spanevello et al. // </w:t>
      </w:r>
      <w:r w:rsidRPr="00C04F24">
        <w:rPr>
          <w:rFonts w:ascii="Times New Roman" w:eastAsia="Calibri" w:hAnsi="Times New Roman" w:cs="Times New Roman"/>
          <w:sz w:val="28"/>
          <w:szCs w:val="28"/>
          <w:lang w:val="en-US"/>
        </w:rPr>
        <w:t xml:space="preserve">Eur J Intern Med. – 2020. – </w:t>
      </w:r>
      <w:r w:rsidRPr="00C04F24">
        <w:rPr>
          <w:rFonts w:ascii="Times New Roman" w:eastAsia="Times New Roman" w:hAnsi="Times New Roman" w:cs="Times New Roman"/>
          <w:sz w:val="28"/>
          <w:szCs w:val="28"/>
          <w:lang w:val="en-US" w:eastAsia="ru-RU"/>
        </w:rPr>
        <w:t>Vol.</w:t>
      </w:r>
      <w:r w:rsidRPr="00C04F24">
        <w:rPr>
          <w:rFonts w:ascii="Times New Roman" w:eastAsia="Calibri" w:hAnsi="Times New Roman" w:cs="Times New Roman"/>
          <w:sz w:val="28"/>
          <w:szCs w:val="28"/>
          <w:lang w:val="en-US"/>
        </w:rPr>
        <w:t xml:space="preserve">76. – P.14-20.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Zhong, J.</w:t>
      </w:r>
      <w:r w:rsidRPr="00C04F24">
        <w:rPr>
          <w:rFonts w:ascii="Times New Roman" w:eastAsia="Calibri" w:hAnsi="Times New Roman" w:cs="Times New Roman"/>
          <w:sz w:val="28"/>
          <w:szCs w:val="28"/>
          <w:lang w:val="en-US"/>
        </w:rPr>
        <w:t xml:space="preserve"> Angiotensin-converting enzyme 2 suppresses pathological hypertrophy, myocardial fibrosis, and cardiac dysfunction </w:t>
      </w:r>
      <w:r w:rsidRPr="00C04F24">
        <w:rPr>
          <w:rFonts w:ascii="Times New Roman" w:eastAsia="Times New Roman" w:hAnsi="Times New Roman" w:cs="Times New Roman"/>
          <w:sz w:val="28"/>
          <w:szCs w:val="28"/>
          <w:lang w:val="en-US" w:eastAsia="ru-RU"/>
        </w:rPr>
        <w:t xml:space="preserve">[Text] / J. Zhong, R.Basu, D. Guo et al. // </w:t>
      </w:r>
      <w:r w:rsidRPr="00C04F24">
        <w:rPr>
          <w:rFonts w:ascii="Times New Roman" w:eastAsia="Calibri" w:hAnsi="Times New Roman" w:cs="Times New Roman"/>
          <w:sz w:val="28"/>
          <w:szCs w:val="28"/>
          <w:lang w:val="en-US"/>
        </w:rPr>
        <w:t xml:space="preserve">Circulation. – 2010. – Vol.122. – P.717–728.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lastRenderedPageBreak/>
        <w:t xml:space="preserve">Trask, A.J. </w:t>
      </w:r>
      <w:r w:rsidRPr="00C04F24">
        <w:rPr>
          <w:rFonts w:ascii="Times New Roman" w:eastAsia="Calibri" w:hAnsi="Times New Roman" w:cs="Times New Roman"/>
          <w:sz w:val="28"/>
          <w:szCs w:val="28"/>
          <w:lang w:val="en-US"/>
        </w:rPr>
        <w:t xml:space="preserve"> Primary role of angiotensin-converting enzyme-2 in cardiac production of angiotensin-(1-7) in transgenic Ren-2 hypertensive rats </w:t>
      </w:r>
      <w:r w:rsidRPr="00C04F24">
        <w:rPr>
          <w:rFonts w:ascii="Times New Roman" w:eastAsia="Times New Roman" w:hAnsi="Times New Roman" w:cs="Times New Roman"/>
          <w:sz w:val="28"/>
          <w:szCs w:val="28"/>
          <w:lang w:val="en-US" w:eastAsia="ru-RU"/>
        </w:rPr>
        <w:t xml:space="preserve">[Text] / A.J. Trask, D.B. Averill, D. Ganten et al. // </w:t>
      </w:r>
      <w:r w:rsidRPr="00C04F24">
        <w:rPr>
          <w:rFonts w:ascii="Times New Roman" w:eastAsia="Calibri" w:hAnsi="Times New Roman" w:cs="Times New Roman"/>
          <w:sz w:val="28"/>
          <w:szCs w:val="28"/>
          <w:lang w:val="en-US"/>
        </w:rPr>
        <w:t>Am J Physiol Heart Circ Physiol. – 2007. – Vol.292. – P.H3019–H3024.</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Mehta, P.</w:t>
      </w:r>
      <w:r w:rsidRPr="00C04F24">
        <w:rPr>
          <w:rFonts w:ascii="Times New Roman" w:eastAsia="Calibri" w:hAnsi="Times New Roman" w:cs="Times New Roman"/>
          <w:sz w:val="28"/>
          <w:szCs w:val="28"/>
          <w:lang w:val="en-US"/>
        </w:rPr>
        <w:t xml:space="preserve"> COVID-19: consider cytokine storm syndromes and immunosuppression </w:t>
      </w:r>
      <w:r w:rsidRPr="00C04F24">
        <w:rPr>
          <w:rFonts w:ascii="Times New Roman" w:eastAsia="Times New Roman" w:hAnsi="Times New Roman" w:cs="Times New Roman"/>
          <w:sz w:val="28"/>
          <w:szCs w:val="28"/>
          <w:lang w:val="en-US" w:eastAsia="ru-RU"/>
        </w:rPr>
        <w:t xml:space="preserve">[Text] / P. Mehta, D.F. MaAuley, M. Brown et al. // </w:t>
      </w:r>
      <w:r w:rsidRPr="00C04F24">
        <w:rPr>
          <w:rFonts w:ascii="Times New Roman" w:eastAsia="Calibri" w:hAnsi="Times New Roman" w:cs="Times New Roman"/>
          <w:sz w:val="28"/>
          <w:szCs w:val="28"/>
          <w:lang w:val="en-US"/>
        </w:rPr>
        <w:t>The Lancet. – 2020. – Vol.395. – P.1–2.</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Akhmerov, A.</w:t>
      </w:r>
      <w:r w:rsidRPr="00C04F24">
        <w:rPr>
          <w:rFonts w:ascii="Times New Roman" w:eastAsia="Calibri" w:hAnsi="Times New Roman" w:cs="Times New Roman"/>
          <w:sz w:val="28"/>
          <w:szCs w:val="28"/>
          <w:lang w:val="en-US"/>
        </w:rPr>
        <w:t xml:space="preserve"> COVID-19 and the Heart </w:t>
      </w:r>
      <w:r w:rsidRPr="00C04F24">
        <w:rPr>
          <w:rFonts w:ascii="Times New Roman" w:eastAsia="Times New Roman" w:hAnsi="Times New Roman" w:cs="Times New Roman"/>
          <w:sz w:val="28"/>
          <w:szCs w:val="28"/>
          <w:lang w:val="en-US" w:eastAsia="ru-RU"/>
        </w:rPr>
        <w:t xml:space="preserve">[Text] / A. Akhmerov, E. Marban // </w:t>
      </w:r>
      <w:r w:rsidRPr="00C04F24">
        <w:rPr>
          <w:rFonts w:ascii="Times New Roman" w:eastAsia="Calibri" w:hAnsi="Times New Roman" w:cs="Times New Roman"/>
          <w:sz w:val="28"/>
          <w:szCs w:val="28"/>
          <w:lang w:val="en-US"/>
        </w:rPr>
        <w:t>Circ Res. – 2020. – Vol.120. – 317-055.</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b/>
          <w:bCs/>
          <w:sz w:val="28"/>
          <w:szCs w:val="28"/>
        </w:rPr>
        <w:t>Кривошеев, В.В.</w:t>
      </w:r>
      <w:r w:rsidRPr="00C04F24">
        <w:rPr>
          <w:rFonts w:ascii="Times New Roman" w:eastAsia="Calibri" w:hAnsi="Times New Roman" w:cs="Times New Roman"/>
          <w:sz w:val="28"/>
          <w:szCs w:val="28"/>
        </w:rPr>
        <w:t xml:space="preserve"> Атмосферное давление и COVID-19 </w:t>
      </w:r>
      <w:r w:rsidRPr="00C04F24">
        <w:rPr>
          <w:rFonts w:ascii="Times New Roman" w:eastAsia="Times New Roman" w:hAnsi="Times New Roman" w:cs="Times New Roman"/>
          <w:sz w:val="28"/>
          <w:szCs w:val="28"/>
          <w:lang w:eastAsia="ru-RU"/>
        </w:rPr>
        <w:t>[</w:t>
      </w:r>
      <w:r w:rsidRPr="00C04F24">
        <w:rPr>
          <w:rFonts w:ascii="Times New Roman" w:eastAsia="Times New Roman" w:hAnsi="Times New Roman" w:cs="Times New Roman"/>
          <w:sz w:val="28"/>
          <w:szCs w:val="28"/>
          <w:lang w:val="en-US" w:eastAsia="ru-RU"/>
        </w:rPr>
        <w:t>Text</w:t>
      </w:r>
      <w:r w:rsidRPr="00C04F24">
        <w:rPr>
          <w:rFonts w:ascii="Times New Roman" w:eastAsia="Times New Roman" w:hAnsi="Times New Roman" w:cs="Times New Roman"/>
          <w:sz w:val="28"/>
          <w:szCs w:val="28"/>
          <w:lang w:eastAsia="ru-RU"/>
        </w:rPr>
        <w:t xml:space="preserve">] / </w:t>
      </w:r>
      <w:r w:rsidRPr="00C04F24">
        <w:rPr>
          <w:rFonts w:ascii="Times New Roman" w:eastAsia="Times New Roman" w:hAnsi="Times New Roman" w:cs="Times New Roman"/>
          <w:sz w:val="28"/>
          <w:szCs w:val="28"/>
          <w:lang w:val="en-US" w:eastAsia="ru-RU"/>
        </w:rPr>
        <w:t>B</w:t>
      </w:r>
      <w:r w:rsidRPr="00C04F24">
        <w:rPr>
          <w:rFonts w:ascii="Times New Roman" w:eastAsia="Times New Roman" w:hAnsi="Times New Roman" w:cs="Times New Roman"/>
          <w:sz w:val="28"/>
          <w:szCs w:val="28"/>
          <w:lang w:eastAsia="ru-RU"/>
        </w:rPr>
        <w:t>.</w:t>
      </w:r>
      <w:r w:rsidRPr="00C04F24">
        <w:rPr>
          <w:rFonts w:ascii="Times New Roman" w:eastAsia="Times New Roman" w:hAnsi="Times New Roman" w:cs="Times New Roman"/>
          <w:sz w:val="28"/>
          <w:szCs w:val="28"/>
          <w:lang w:val="en-US" w:eastAsia="ru-RU"/>
        </w:rPr>
        <w:t>B</w:t>
      </w:r>
      <w:r w:rsidRPr="00C04F24">
        <w:rPr>
          <w:rFonts w:ascii="Times New Roman" w:eastAsia="Times New Roman" w:hAnsi="Times New Roman" w:cs="Times New Roman"/>
          <w:sz w:val="28"/>
          <w:szCs w:val="28"/>
          <w:lang w:eastAsia="ru-RU"/>
        </w:rPr>
        <w:t>. Кривошеев, А.И. Столяров</w:t>
      </w:r>
      <w:r w:rsidRPr="00C04F24">
        <w:rPr>
          <w:rFonts w:ascii="Times New Roman" w:eastAsia="Calibri" w:hAnsi="Times New Roman" w:cs="Times New Roman"/>
          <w:sz w:val="28"/>
          <w:szCs w:val="28"/>
        </w:rPr>
        <w:t xml:space="preserve"> // Санитарный врач. – 2021. – №. 7. – С. 8-17.</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Pirouz, B.</w:t>
      </w:r>
      <w:r w:rsidRPr="00C04F24">
        <w:rPr>
          <w:rFonts w:ascii="Times New Roman" w:eastAsia="Calibri" w:hAnsi="Times New Roman" w:cs="Times New Roman"/>
          <w:sz w:val="28"/>
          <w:szCs w:val="28"/>
          <w:lang w:val="en-US"/>
        </w:rPr>
        <w:t xml:space="preserve"> Investigating a Serious Challenge in the Sustainable Development Process: Analysis of Confi rmed cases of COVID-19 (New Type of Coronavirus) Through a Binary Classifi cation Using Artifi cial Intelligence and Regression Analysis </w:t>
      </w:r>
      <w:r w:rsidRPr="00C04F24">
        <w:rPr>
          <w:rFonts w:ascii="Times New Roman" w:eastAsia="Times New Roman" w:hAnsi="Times New Roman" w:cs="Times New Roman"/>
          <w:sz w:val="28"/>
          <w:szCs w:val="28"/>
          <w:lang w:val="en-US" w:eastAsia="ru-RU"/>
        </w:rPr>
        <w:t xml:space="preserve">[Text] / B. Pirouz, S.S. Haghshenas // </w:t>
      </w:r>
      <w:r w:rsidRPr="00C04F24">
        <w:rPr>
          <w:rFonts w:ascii="Times New Roman" w:eastAsia="Calibri" w:hAnsi="Times New Roman" w:cs="Times New Roman"/>
          <w:sz w:val="28"/>
          <w:szCs w:val="28"/>
          <w:lang w:val="en-US"/>
        </w:rPr>
        <w:t xml:space="preserve">Sustainability. – 2020. – Vol.12(6). – P.2427. </w:t>
      </w:r>
      <w:hyperlink r:id="rId79" w:history="1">
        <w:r w:rsidRPr="00C04F24">
          <w:rPr>
            <w:rFonts w:ascii="Times New Roman" w:eastAsia="Calibri" w:hAnsi="Times New Roman" w:cs="Times New Roman"/>
            <w:color w:val="0563C1" w:themeColor="hyperlink"/>
            <w:sz w:val="28"/>
            <w:szCs w:val="28"/>
            <w:u w:val="single"/>
            <w:lang w:val="en-US"/>
          </w:rPr>
          <w:t>https://doi.org/10.3390/su12062427</w:t>
        </w:r>
      </w:hyperlink>
      <w:r w:rsidRPr="00C04F24">
        <w:rPr>
          <w:rFonts w:ascii="Times New Roman" w:eastAsia="Calibri" w:hAnsi="Times New Roman" w:cs="Times New Roman"/>
          <w:sz w:val="28"/>
          <w:szCs w:val="28"/>
          <w:lang w:val="en-US"/>
        </w:rPr>
        <w:t xml:space="preserve">. – </w:t>
      </w:r>
      <w:r w:rsidRPr="00C04F24">
        <w:rPr>
          <w:rFonts w:ascii="Times New Roman" w:eastAsia="Calibri" w:hAnsi="Times New Roman" w:cs="Times New Roman"/>
          <w:sz w:val="28"/>
          <w:szCs w:val="28"/>
        </w:rPr>
        <w:t>Загл</w:t>
      </w:r>
      <w:r w:rsidRPr="00C04F24">
        <w:rPr>
          <w:rFonts w:ascii="Times New Roman" w:eastAsia="Calibri" w:hAnsi="Times New Roman" w:cs="Times New Roman"/>
          <w:sz w:val="28"/>
          <w:szCs w:val="28"/>
          <w:lang w:val="en-US"/>
        </w:rPr>
        <w:t>.</w:t>
      </w:r>
      <w:r w:rsidRPr="00C04F24">
        <w:rPr>
          <w:rFonts w:ascii="Times New Roman" w:eastAsia="Calibri" w:hAnsi="Times New Roman" w:cs="Times New Roman"/>
          <w:sz w:val="28"/>
          <w:szCs w:val="28"/>
        </w:rPr>
        <w:t>с</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экрана</w:t>
      </w:r>
      <w:r w:rsidRPr="00C04F24">
        <w:rPr>
          <w:rFonts w:ascii="Times New Roman" w:eastAsia="Calibri" w:hAnsi="Times New Roman" w:cs="Times New Roman"/>
          <w:sz w:val="28"/>
          <w:szCs w:val="28"/>
          <w:lang w:val="en-US"/>
        </w:rPr>
        <w:t>.</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b/>
          <w:bCs/>
          <w:sz w:val="28"/>
          <w:szCs w:val="28"/>
          <w:lang w:val="en-US"/>
        </w:rPr>
        <w:t xml:space="preserve">Atin, A. </w:t>
      </w:r>
      <w:r w:rsidRPr="00C04F24">
        <w:rPr>
          <w:rFonts w:ascii="Times New Roman" w:eastAsia="Calibri" w:hAnsi="Times New Roman" w:cs="Times New Roman"/>
          <w:sz w:val="28"/>
          <w:szCs w:val="28"/>
          <w:lang w:val="en-US"/>
        </w:rPr>
        <w:t xml:space="preserve"> Short-Term Eff ects of Ambient Ozone, PM2.5, and Meteorological Factors on COVID-19 Confi rmed Cases and Deaths in Queens, New York </w:t>
      </w:r>
      <w:r w:rsidRPr="00C04F24">
        <w:rPr>
          <w:rFonts w:ascii="Times New Roman" w:eastAsia="Times New Roman" w:hAnsi="Times New Roman" w:cs="Times New Roman"/>
          <w:sz w:val="28"/>
          <w:szCs w:val="28"/>
          <w:lang w:val="en-US" w:eastAsia="ru-RU"/>
        </w:rPr>
        <w:t xml:space="preserve">[Text] / A. Atin, Y.Jingjing // </w:t>
      </w:r>
      <w:r w:rsidRPr="00C04F24">
        <w:rPr>
          <w:rFonts w:ascii="Times New Roman" w:eastAsia="Calibri" w:hAnsi="Times New Roman" w:cs="Times New Roman"/>
          <w:sz w:val="28"/>
          <w:szCs w:val="28"/>
          <w:lang w:val="en-US"/>
        </w:rPr>
        <w:t xml:space="preserve">Intern.J.Environmental Research and Public Health. – 2020. – Vol.17(11). – P.4047.  </w:t>
      </w:r>
      <w:hyperlink r:id="rId80" w:history="1">
        <w:r w:rsidRPr="00C04F24">
          <w:rPr>
            <w:rFonts w:ascii="Times New Roman" w:eastAsia="Calibri" w:hAnsi="Times New Roman" w:cs="Times New Roman"/>
            <w:color w:val="0563C1" w:themeColor="hyperlink"/>
            <w:sz w:val="28"/>
            <w:szCs w:val="28"/>
            <w:u w:val="single"/>
            <w:lang w:val="en-US"/>
          </w:rPr>
          <w:t>https://doi.org/10.3390/ijerph17114047</w:t>
        </w:r>
      </w:hyperlink>
      <w:r w:rsidRPr="00C04F24">
        <w:rPr>
          <w:rFonts w:ascii="Times New Roman" w:eastAsia="Calibri" w:hAnsi="Times New Roman" w:cs="Times New Roman"/>
          <w:sz w:val="28"/>
          <w:szCs w:val="28"/>
          <w:lang w:val="en-US"/>
        </w:rPr>
        <w:t xml:space="preserve">. – </w:t>
      </w:r>
      <w:r w:rsidRPr="00C04F24">
        <w:rPr>
          <w:rFonts w:ascii="Times New Roman" w:eastAsia="Calibri" w:hAnsi="Times New Roman" w:cs="Times New Roman"/>
          <w:sz w:val="28"/>
          <w:szCs w:val="28"/>
        </w:rPr>
        <w:t>Загл</w:t>
      </w:r>
      <w:r w:rsidRPr="00C04F24">
        <w:rPr>
          <w:rFonts w:ascii="Times New Roman" w:eastAsia="Calibri" w:hAnsi="Times New Roman" w:cs="Times New Roman"/>
          <w:sz w:val="28"/>
          <w:szCs w:val="28"/>
          <w:lang w:val="en-US"/>
        </w:rPr>
        <w:t>.</w:t>
      </w:r>
      <w:r w:rsidRPr="00C04F24">
        <w:rPr>
          <w:rFonts w:ascii="Times New Roman" w:eastAsia="Calibri" w:hAnsi="Times New Roman" w:cs="Times New Roman"/>
          <w:sz w:val="28"/>
          <w:szCs w:val="28"/>
        </w:rPr>
        <w:t>с</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экрана</w:t>
      </w:r>
      <w:r w:rsidRPr="00C04F24">
        <w:rPr>
          <w:rFonts w:ascii="Times New Roman" w:eastAsia="Calibri" w:hAnsi="Times New Roman" w:cs="Times New Roman"/>
          <w:sz w:val="28"/>
          <w:szCs w:val="28"/>
          <w:lang w:val="en-US"/>
        </w:rPr>
        <w:t>.</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Li, K.</w:t>
      </w:r>
      <w:r w:rsidRPr="00C04F24">
        <w:rPr>
          <w:rFonts w:ascii="Times New Roman" w:eastAsia="Calibri" w:hAnsi="Times New Roman" w:cs="Times New Roman"/>
          <w:sz w:val="28"/>
          <w:szCs w:val="28"/>
          <w:lang w:val="en-US"/>
        </w:rPr>
        <w:t xml:space="preserve"> The Link between Humidity and COVID-19 Caused Death </w:t>
      </w:r>
      <w:r w:rsidRPr="00C04F24">
        <w:rPr>
          <w:rFonts w:ascii="Times New Roman" w:eastAsia="Times New Roman" w:hAnsi="Times New Roman" w:cs="Times New Roman"/>
          <w:sz w:val="28"/>
          <w:szCs w:val="28"/>
          <w:lang w:val="en-US" w:eastAsia="ru-RU"/>
        </w:rPr>
        <w:t xml:space="preserve">[Text] / K. Li // </w:t>
      </w:r>
      <w:r w:rsidRPr="00C04F24">
        <w:rPr>
          <w:rFonts w:ascii="Times New Roman" w:eastAsia="Calibri" w:hAnsi="Times New Roman" w:cs="Times New Roman"/>
          <w:sz w:val="28"/>
          <w:szCs w:val="28"/>
          <w:lang w:val="en-US"/>
        </w:rPr>
        <w:t xml:space="preserve">J.Biosciences and Medicines. – 2020. – Vol.8(6). – P.50–55.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Bashir, M. F. </w:t>
      </w:r>
      <w:r w:rsidRPr="00C04F24">
        <w:rPr>
          <w:rFonts w:ascii="Times New Roman" w:eastAsia="Calibri" w:hAnsi="Times New Roman" w:cs="Times New Roman"/>
          <w:sz w:val="28"/>
          <w:szCs w:val="28"/>
          <w:lang w:val="en-US"/>
        </w:rPr>
        <w:t xml:space="preserve"> Correlation between climate indicators and COVID-19 pandemic in New York, USA </w:t>
      </w:r>
      <w:r w:rsidRPr="00C04F24">
        <w:rPr>
          <w:rFonts w:ascii="Times New Roman" w:eastAsia="Times New Roman" w:hAnsi="Times New Roman" w:cs="Times New Roman"/>
          <w:sz w:val="28"/>
          <w:szCs w:val="28"/>
          <w:lang w:val="en-US" w:eastAsia="ru-RU"/>
        </w:rPr>
        <w:t xml:space="preserve">[Text] / M.F. Bashir, B. Ma,  Bilal et al. // </w:t>
      </w:r>
      <w:r w:rsidRPr="00C04F24">
        <w:rPr>
          <w:rFonts w:ascii="Times New Roman" w:eastAsia="Calibri" w:hAnsi="Times New Roman" w:cs="Times New Roman"/>
          <w:sz w:val="28"/>
          <w:szCs w:val="28"/>
          <w:lang w:val="en-US"/>
        </w:rPr>
        <w:t xml:space="preserve">Science of The Total Environment. – 2020. – Vol.728. – P.138-835.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Gupta, A. </w:t>
      </w:r>
      <w:r w:rsidRPr="00C04F24">
        <w:rPr>
          <w:rFonts w:ascii="Times New Roman" w:eastAsia="Calibri" w:hAnsi="Times New Roman" w:cs="Times New Roman"/>
          <w:sz w:val="28"/>
          <w:szCs w:val="28"/>
          <w:lang w:val="en-US"/>
        </w:rPr>
        <w:t xml:space="preserve">Signifi cance of geographical factors to the COVID-19 outbreak in India </w:t>
      </w:r>
      <w:r w:rsidRPr="00C04F24">
        <w:rPr>
          <w:rFonts w:ascii="Times New Roman" w:eastAsia="Times New Roman" w:hAnsi="Times New Roman" w:cs="Times New Roman"/>
          <w:sz w:val="28"/>
          <w:szCs w:val="28"/>
          <w:lang w:val="en-US" w:eastAsia="ru-RU"/>
        </w:rPr>
        <w:t xml:space="preserve">[Text] / A. Gupta, S. Banerjee, S.Das et al. // </w:t>
      </w:r>
      <w:r w:rsidRPr="00C04F24">
        <w:rPr>
          <w:rFonts w:ascii="Times New Roman" w:eastAsia="Calibri" w:hAnsi="Times New Roman" w:cs="Times New Roman"/>
          <w:sz w:val="28"/>
          <w:szCs w:val="28"/>
          <w:lang w:val="en-US"/>
        </w:rPr>
        <w:t xml:space="preserve"> Modeling Earth Systems and Environment. – 2020. – Vol.6. – P.2645–2653.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lastRenderedPageBreak/>
        <w:t xml:space="preserve">Pani, S.K. </w:t>
      </w:r>
      <w:r w:rsidRPr="00C04F24">
        <w:rPr>
          <w:rFonts w:ascii="Times New Roman" w:eastAsia="Calibri" w:hAnsi="Times New Roman" w:cs="Times New Roman"/>
          <w:sz w:val="28"/>
          <w:szCs w:val="28"/>
          <w:lang w:val="en-US"/>
        </w:rPr>
        <w:t xml:space="preserve"> Association of COVID-19 pandemic with meteorological parameters over Singapore </w:t>
      </w:r>
      <w:r w:rsidRPr="00C04F24">
        <w:rPr>
          <w:rFonts w:ascii="Times New Roman" w:eastAsia="Times New Roman" w:hAnsi="Times New Roman" w:cs="Times New Roman"/>
          <w:sz w:val="28"/>
          <w:szCs w:val="28"/>
          <w:lang w:val="en-US" w:eastAsia="ru-RU"/>
        </w:rPr>
        <w:t>[Text] / S.K. Pani, N.-H. Lin, S.R. Babu</w:t>
      </w:r>
      <w:r w:rsidRPr="00C04F24">
        <w:rPr>
          <w:rFonts w:ascii="Times New Roman" w:eastAsia="Calibri" w:hAnsi="Times New Roman" w:cs="Times New Roman"/>
          <w:sz w:val="28"/>
          <w:szCs w:val="28"/>
          <w:lang w:val="en-US"/>
        </w:rPr>
        <w:t xml:space="preserve">. // Science of the Total Environment. – 2020. – Vol.740. – P.140112.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rPr>
      </w:pPr>
      <w:r w:rsidRPr="00C04F24">
        <w:rPr>
          <w:rFonts w:ascii="Times New Roman" w:eastAsia="Calibri" w:hAnsi="Times New Roman" w:cs="Times New Roman"/>
          <w:b/>
          <w:bCs/>
          <w:sz w:val="28"/>
          <w:szCs w:val="28"/>
          <w:lang w:val="en-US"/>
        </w:rPr>
        <w:t>Cai, Q.C.</w:t>
      </w:r>
      <w:r w:rsidRPr="00C04F24">
        <w:rPr>
          <w:rFonts w:ascii="Times New Roman" w:eastAsia="Calibri" w:hAnsi="Times New Roman" w:cs="Times New Roman"/>
          <w:sz w:val="28"/>
          <w:szCs w:val="28"/>
          <w:lang w:val="en-US"/>
        </w:rPr>
        <w:t xml:space="preserve"> Influence of meteorological factors and air pollution on the outbreak of severe acute respiratory syndrome </w:t>
      </w:r>
      <w:r w:rsidRPr="00C04F24">
        <w:rPr>
          <w:rFonts w:ascii="Times New Roman" w:eastAsia="Times New Roman" w:hAnsi="Times New Roman" w:cs="Times New Roman"/>
          <w:sz w:val="28"/>
          <w:szCs w:val="28"/>
          <w:lang w:val="en-US" w:eastAsia="ru-RU"/>
        </w:rPr>
        <w:t>[Text] / Q.C. Cfi, J.Lu, Q.F. Xu</w:t>
      </w:r>
      <w:r w:rsidRPr="00C04F24">
        <w:rPr>
          <w:rFonts w:ascii="Times New Roman" w:eastAsia="Calibri" w:hAnsi="Times New Roman" w:cs="Times New Roman"/>
          <w:sz w:val="28"/>
          <w:szCs w:val="28"/>
          <w:lang w:val="en-US"/>
        </w:rPr>
        <w:t xml:space="preserve"> // Public Health. – 2007. – Vol.121. – P.258–265. DOI</w:t>
      </w:r>
      <w:r w:rsidRPr="00C04F24">
        <w:rPr>
          <w:rFonts w:ascii="Times New Roman" w:eastAsia="Calibri" w:hAnsi="Times New Roman" w:cs="Times New Roman"/>
          <w:sz w:val="28"/>
          <w:szCs w:val="28"/>
        </w:rPr>
        <w:t xml:space="preserve">: </w:t>
      </w:r>
      <w:hyperlink r:id="rId81" w:history="1">
        <w:r w:rsidRPr="00C04F24">
          <w:rPr>
            <w:rFonts w:ascii="Times New Roman" w:eastAsia="Calibri" w:hAnsi="Times New Roman" w:cs="Times New Roman"/>
            <w:color w:val="0563C1" w:themeColor="hyperlink"/>
            <w:sz w:val="28"/>
            <w:szCs w:val="28"/>
            <w:u w:val="single"/>
            <w:lang w:val="en-US"/>
          </w:rPr>
          <w:t>https</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pubmed</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ncbi</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nlm</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nih</w:t>
        </w:r>
        <w:r w:rsidRPr="00C04F24">
          <w:rPr>
            <w:rFonts w:ascii="Times New Roman" w:eastAsia="Calibri" w:hAnsi="Times New Roman" w:cs="Times New Roman"/>
            <w:color w:val="0563C1" w:themeColor="hyperlink"/>
            <w:sz w:val="28"/>
            <w:szCs w:val="28"/>
            <w:u w:val="single"/>
          </w:rPr>
          <w:t>.</w:t>
        </w:r>
        <w:r w:rsidRPr="00C04F24">
          <w:rPr>
            <w:rFonts w:ascii="Times New Roman" w:eastAsia="Calibri" w:hAnsi="Times New Roman" w:cs="Times New Roman"/>
            <w:color w:val="0563C1" w:themeColor="hyperlink"/>
            <w:sz w:val="28"/>
            <w:szCs w:val="28"/>
            <w:u w:val="single"/>
            <w:lang w:val="en-US"/>
          </w:rPr>
          <w:t>gov</w:t>
        </w:r>
        <w:r w:rsidRPr="00C04F24">
          <w:rPr>
            <w:rFonts w:ascii="Times New Roman" w:eastAsia="Calibri" w:hAnsi="Times New Roman" w:cs="Times New Roman"/>
            <w:color w:val="0563C1" w:themeColor="hyperlink"/>
            <w:sz w:val="28"/>
            <w:szCs w:val="28"/>
            <w:u w:val="single"/>
          </w:rPr>
          <w:t>/17307207/</w:t>
        </w:r>
      </w:hyperlink>
      <w:r w:rsidRPr="00C04F24">
        <w:rPr>
          <w:rFonts w:ascii="Times New Roman" w:eastAsia="Calibri" w:hAnsi="Times New Roman" w:cs="Times New Roman"/>
          <w:sz w:val="28"/>
          <w:szCs w:val="28"/>
        </w:rPr>
        <w:t>. – Загл.с экрана.</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Kumar, G.</w:t>
      </w:r>
      <w:r w:rsidRPr="00C04F24">
        <w:rPr>
          <w:rFonts w:ascii="Times New Roman" w:eastAsia="Calibri" w:hAnsi="Times New Roman" w:cs="Times New Roman"/>
          <w:sz w:val="28"/>
          <w:szCs w:val="28"/>
          <w:lang w:val="en-US"/>
        </w:rPr>
        <w:t xml:space="preserve"> A correlation study between meteorological parameters and COVID-19 pandemic in Mumbai, India </w:t>
      </w:r>
      <w:r w:rsidRPr="00C04F24">
        <w:rPr>
          <w:rFonts w:ascii="Times New Roman" w:eastAsia="Times New Roman" w:hAnsi="Times New Roman" w:cs="Times New Roman"/>
          <w:sz w:val="28"/>
          <w:szCs w:val="28"/>
          <w:lang w:val="en-US" w:eastAsia="ru-RU"/>
        </w:rPr>
        <w:t xml:space="preserve">[Text] / G.Kumar, R.R. Kumar // </w:t>
      </w:r>
      <w:r w:rsidRPr="00C04F24">
        <w:rPr>
          <w:rFonts w:ascii="Times New Roman" w:eastAsia="Calibri" w:hAnsi="Times New Roman" w:cs="Times New Roman"/>
          <w:sz w:val="28"/>
          <w:szCs w:val="28"/>
          <w:lang w:val="en-US"/>
        </w:rPr>
        <w:t xml:space="preserve">Diabetology &amp; Metabolic Syndrome. – 2020. – Vol.14 (6). – P.1735–1742.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Deyal, N.</w:t>
      </w:r>
      <w:r w:rsidRPr="00C04F24">
        <w:rPr>
          <w:rFonts w:ascii="Times New Roman" w:eastAsia="Calibri" w:hAnsi="Times New Roman" w:cs="Times New Roman"/>
          <w:sz w:val="28"/>
          <w:szCs w:val="28"/>
          <w:lang w:val="en-US"/>
        </w:rPr>
        <w:t xml:space="preserve"> Impact of climatic parameters on COVID-19 pandemic progression in India: analysis and prediction </w:t>
      </w:r>
      <w:r w:rsidRPr="00C04F24">
        <w:rPr>
          <w:rFonts w:ascii="Times New Roman" w:eastAsia="Times New Roman" w:hAnsi="Times New Roman" w:cs="Times New Roman"/>
          <w:sz w:val="28"/>
          <w:szCs w:val="28"/>
          <w:lang w:val="en-US" w:eastAsia="ru-RU"/>
        </w:rPr>
        <w:t>[</w:t>
      </w:r>
      <w:r w:rsidRPr="00C04F24">
        <w:rPr>
          <w:rFonts w:ascii="Times New Roman" w:eastAsia="Times New Roman" w:hAnsi="Times New Roman" w:cs="Times New Roman"/>
          <w:sz w:val="28"/>
          <w:szCs w:val="28"/>
          <w:lang w:eastAsia="ru-RU"/>
        </w:rPr>
        <w:t>Электронный</w:t>
      </w:r>
      <w:r w:rsidRPr="00C04F24">
        <w:rPr>
          <w:rFonts w:ascii="Times New Roman" w:eastAsia="Times New Roman" w:hAnsi="Times New Roman" w:cs="Times New Roman"/>
          <w:sz w:val="28"/>
          <w:szCs w:val="28"/>
          <w:lang w:val="en-US" w:eastAsia="ru-RU"/>
        </w:rPr>
        <w:t xml:space="preserve"> </w:t>
      </w:r>
      <w:r w:rsidRPr="00C04F24">
        <w:rPr>
          <w:rFonts w:ascii="Times New Roman" w:eastAsia="Times New Roman" w:hAnsi="Times New Roman" w:cs="Times New Roman"/>
          <w:sz w:val="28"/>
          <w:szCs w:val="28"/>
          <w:lang w:eastAsia="ru-RU"/>
        </w:rPr>
        <w:t>ресурс</w:t>
      </w:r>
      <w:r w:rsidRPr="00C04F24">
        <w:rPr>
          <w:rFonts w:ascii="Times New Roman" w:eastAsia="Times New Roman" w:hAnsi="Times New Roman" w:cs="Times New Roman"/>
          <w:sz w:val="28"/>
          <w:szCs w:val="28"/>
          <w:lang w:val="en-US" w:eastAsia="ru-RU"/>
        </w:rPr>
        <w:t>] / N.Deyal, V.Tiwari, N.Bisht</w:t>
      </w:r>
      <w:r w:rsidRPr="00C04F24">
        <w:rPr>
          <w:rFonts w:ascii="Times New Roman" w:eastAsia="Calibri" w:hAnsi="Times New Roman" w:cs="Times New Roman"/>
          <w:sz w:val="28"/>
          <w:szCs w:val="28"/>
          <w:lang w:val="en-US"/>
        </w:rPr>
        <w:t xml:space="preserve">. – </w:t>
      </w:r>
      <w:r w:rsidRPr="00C04F24">
        <w:rPr>
          <w:rFonts w:ascii="Times New Roman" w:eastAsia="Calibri" w:hAnsi="Times New Roman" w:cs="Times New Roman"/>
          <w:sz w:val="28"/>
          <w:szCs w:val="28"/>
        </w:rPr>
        <w:t>Режим</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доступа</w:t>
      </w:r>
      <w:r w:rsidRPr="00C04F24">
        <w:rPr>
          <w:rFonts w:ascii="Times New Roman" w:eastAsia="Calibri" w:hAnsi="Times New Roman" w:cs="Times New Roman"/>
          <w:sz w:val="28"/>
          <w:szCs w:val="28"/>
          <w:lang w:val="en-US"/>
        </w:rPr>
        <w:t xml:space="preserve">: </w:t>
      </w:r>
      <w:hyperlink r:id="rId82" w:history="1">
        <w:r w:rsidRPr="00C04F24">
          <w:rPr>
            <w:rFonts w:ascii="Times New Roman" w:eastAsia="Calibri" w:hAnsi="Times New Roman" w:cs="Times New Roman"/>
            <w:color w:val="0563C1" w:themeColor="hyperlink"/>
            <w:sz w:val="28"/>
            <w:szCs w:val="28"/>
            <w:u w:val="single"/>
            <w:lang w:val="en-US"/>
          </w:rPr>
          <w:t>https://doi.org/10.1101/2020.07.25.20161919</w:t>
        </w:r>
      </w:hyperlink>
      <w:r w:rsidRPr="00C04F24">
        <w:rPr>
          <w:rFonts w:ascii="Times New Roman" w:eastAsia="Calibri" w:hAnsi="Times New Roman" w:cs="Times New Roman"/>
          <w:sz w:val="28"/>
          <w:szCs w:val="28"/>
          <w:lang w:val="en-US"/>
        </w:rPr>
        <w:t xml:space="preserve">. – </w:t>
      </w:r>
      <w:r w:rsidRPr="00C04F24">
        <w:rPr>
          <w:rFonts w:ascii="Times New Roman" w:eastAsia="Calibri" w:hAnsi="Times New Roman" w:cs="Times New Roman"/>
          <w:sz w:val="28"/>
          <w:szCs w:val="28"/>
        </w:rPr>
        <w:t>Заглюс</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экрана</w:t>
      </w:r>
      <w:r w:rsidRPr="00C04F24">
        <w:rPr>
          <w:rFonts w:ascii="Times New Roman" w:eastAsia="Calibri" w:hAnsi="Times New Roman" w:cs="Times New Roman"/>
          <w:sz w:val="28"/>
          <w:szCs w:val="28"/>
          <w:lang w:val="en-US"/>
        </w:rPr>
        <w:t>.</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Leung, N.Y.</w:t>
      </w:r>
      <w:r w:rsidRPr="00C04F24">
        <w:rPr>
          <w:rFonts w:ascii="Times New Roman" w:eastAsia="Calibri" w:hAnsi="Times New Roman" w:cs="Times New Roman"/>
          <w:sz w:val="28"/>
          <w:szCs w:val="28"/>
          <w:lang w:val="en-US"/>
        </w:rPr>
        <w:t xml:space="preserve"> Predictors of COVID-19 incidence, mortality, and epidemic growth rate at the country level </w:t>
      </w:r>
      <w:r w:rsidRPr="00C04F24">
        <w:rPr>
          <w:rFonts w:ascii="Times New Roman" w:eastAsia="Times New Roman" w:hAnsi="Times New Roman" w:cs="Times New Roman"/>
          <w:sz w:val="28"/>
          <w:szCs w:val="28"/>
          <w:lang w:val="en-US" w:eastAsia="ru-RU"/>
        </w:rPr>
        <w:t>[</w:t>
      </w:r>
      <w:r w:rsidRPr="00C04F24">
        <w:rPr>
          <w:rFonts w:ascii="Times New Roman" w:eastAsia="Times New Roman" w:hAnsi="Times New Roman" w:cs="Times New Roman"/>
          <w:sz w:val="28"/>
          <w:szCs w:val="28"/>
          <w:lang w:eastAsia="ru-RU"/>
        </w:rPr>
        <w:t>Электронный</w:t>
      </w:r>
      <w:r w:rsidRPr="00C04F24">
        <w:rPr>
          <w:rFonts w:ascii="Times New Roman" w:eastAsia="Times New Roman" w:hAnsi="Times New Roman" w:cs="Times New Roman"/>
          <w:sz w:val="28"/>
          <w:szCs w:val="28"/>
          <w:lang w:val="en-US" w:eastAsia="ru-RU"/>
        </w:rPr>
        <w:t xml:space="preserve"> </w:t>
      </w:r>
      <w:r w:rsidRPr="00C04F24">
        <w:rPr>
          <w:rFonts w:ascii="Times New Roman" w:eastAsia="Times New Roman" w:hAnsi="Times New Roman" w:cs="Times New Roman"/>
          <w:sz w:val="28"/>
          <w:szCs w:val="28"/>
          <w:lang w:eastAsia="ru-RU"/>
        </w:rPr>
        <w:t>ресурс</w:t>
      </w:r>
      <w:r w:rsidRPr="00C04F24">
        <w:rPr>
          <w:rFonts w:ascii="Times New Roman" w:eastAsia="Times New Roman" w:hAnsi="Times New Roman" w:cs="Times New Roman"/>
          <w:sz w:val="28"/>
          <w:szCs w:val="28"/>
          <w:lang w:val="en-US" w:eastAsia="ru-RU"/>
        </w:rPr>
        <w:t xml:space="preserve">] / N.Y. Leung, M.A. Bulterys, P.L. Bulterys. – </w:t>
      </w:r>
      <w:r w:rsidRPr="00C04F24">
        <w:rPr>
          <w:rFonts w:ascii="Times New Roman" w:eastAsia="Times New Roman" w:hAnsi="Times New Roman" w:cs="Times New Roman"/>
          <w:sz w:val="28"/>
          <w:szCs w:val="28"/>
          <w:lang w:eastAsia="ru-RU"/>
        </w:rPr>
        <w:t>Режим</w:t>
      </w:r>
      <w:r w:rsidRPr="00C04F24">
        <w:rPr>
          <w:rFonts w:ascii="Times New Roman" w:eastAsia="Times New Roman" w:hAnsi="Times New Roman" w:cs="Times New Roman"/>
          <w:sz w:val="28"/>
          <w:szCs w:val="28"/>
          <w:lang w:val="en-US" w:eastAsia="ru-RU"/>
        </w:rPr>
        <w:t xml:space="preserve"> </w:t>
      </w:r>
      <w:r w:rsidRPr="00C04F24">
        <w:rPr>
          <w:rFonts w:ascii="Times New Roman" w:eastAsia="Times New Roman" w:hAnsi="Times New Roman" w:cs="Times New Roman"/>
          <w:sz w:val="28"/>
          <w:szCs w:val="28"/>
          <w:lang w:eastAsia="ru-RU"/>
        </w:rPr>
        <w:t>доступа</w:t>
      </w:r>
      <w:r w:rsidRPr="00C04F24">
        <w:rPr>
          <w:rFonts w:ascii="Times New Roman" w:eastAsia="Times New Roman" w:hAnsi="Times New Roman" w:cs="Times New Roman"/>
          <w:sz w:val="28"/>
          <w:szCs w:val="28"/>
          <w:lang w:val="en-US" w:eastAsia="ru-RU"/>
        </w:rPr>
        <w:t xml:space="preserve">: </w:t>
      </w:r>
      <w:r w:rsidRPr="00C04F24">
        <w:rPr>
          <w:rFonts w:ascii="Times New Roman" w:eastAsia="Calibri" w:hAnsi="Times New Roman" w:cs="Times New Roman"/>
          <w:sz w:val="28"/>
          <w:szCs w:val="28"/>
          <w:lang w:val="en-US"/>
        </w:rPr>
        <w:t xml:space="preserve"> </w:t>
      </w:r>
      <w:hyperlink r:id="rId83" w:history="1">
        <w:r w:rsidRPr="00C04F24">
          <w:rPr>
            <w:rFonts w:ascii="Times New Roman" w:eastAsia="Calibri" w:hAnsi="Times New Roman" w:cs="Times New Roman"/>
            <w:color w:val="0563C1" w:themeColor="hyperlink"/>
            <w:sz w:val="28"/>
            <w:szCs w:val="28"/>
            <w:u w:val="single"/>
            <w:lang w:val="en-US"/>
          </w:rPr>
          <w:t>https://doi.org/10.1101/2020.05.15.20101097</w:t>
        </w:r>
      </w:hyperlink>
      <w:r w:rsidRPr="00C04F24">
        <w:rPr>
          <w:rFonts w:ascii="Times New Roman" w:eastAsia="Calibri" w:hAnsi="Times New Roman" w:cs="Times New Roman"/>
          <w:sz w:val="28"/>
          <w:szCs w:val="28"/>
          <w:lang w:val="en-US"/>
        </w:rPr>
        <w:t xml:space="preserve">. – </w:t>
      </w:r>
      <w:r w:rsidRPr="00C04F24">
        <w:rPr>
          <w:rFonts w:ascii="Times New Roman" w:eastAsia="Calibri" w:hAnsi="Times New Roman" w:cs="Times New Roman"/>
          <w:sz w:val="28"/>
          <w:szCs w:val="28"/>
        </w:rPr>
        <w:t>Загл</w:t>
      </w:r>
      <w:r w:rsidRPr="00C04F24">
        <w:rPr>
          <w:rFonts w:ascii="Times New Roman" w:eastAsia="Calibri" w:hAnsi="Times New Roman" w:cs="Times New Roman"/>
          <w:sz w:val="28"/>
          <w:szCs w:val="28"/>
          <w:lang w:val="en-US"/>
        </w:rPr>
        <w:t>.</w:t>
      </w:r>
      <w:r w:rsidRPr="00C04F24">
        <w:rPr>
          <w:rFonts w:ascii="Times New Roman" w:eastAsia="Calibri" w:hAnsi="Times New Roman" w:cs="Times New Roman"/>
          <w:sz w:val="28"/>
          <w:szCs w:val="28"/>
        </w:rPr>
        <w:t>с</w:t>
      </w:r>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экрана</w:t>
      </w:r>
      <w:r w:rsidRPr="00C04F24">
        <w:rPr>
          <w:rFonts w:ascii="Times New Roman" w:eastAsia="Calibri" w:hAnsi="Times New Roman" w:cs="Times New Roman"/>
          <w:sz w:val="28"/>
          <w:szCs w:val="28"/>
          <w:lang w:val="en-US"/>
        </w:rPr>
        <w:t>.</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Saukkoriipi, A. </w:t>
      </w:r>
      <w:r w:rsidRPr="00C04F24">
        <w:rPr>
          <w:rFonts w:ascii="Times New Roman" w:eastAsia="Calibri" w:hAnsi="Times New Roman" w:cs="Times New Roman"/>
          <w:sz w:val="28"/>
          <w:szCs w:val="28"/>
          <w:lang w:val="en-US"/>
        </w:rPr>
        <w:t xml:space="preserve">Decline in temperature and humidity increases the occurrence of influenza in cold climate </w:t>
      </w:r>
      <w:r w:rsidRPr="00C04F24">
        <w:rPr>
          <w:rFonts w:ascii="Times New Roman" w:eastAsia="Times New Roman" w:hAnsi="Times New Roman" w:cs="Times New Roman"/>
          <w:sz w:val="28"/>
          <w:szCs w:val="28"/>
          <w:lang w:val="en-US" w:eastAsia="ru-RU"/>
        </w:rPr>
        <w:t xml:space="preserve">[Text] / A. Saukkoriipi, J. Jokelainen et al. // </w:t>
      </w:r>
      <w:r w:rsidRPr="00C04F24">
        <w:rPr>
          <w:rFonts w:ascii="Times New Roman" w:eastAsia="Calibri" w:hAnsi="Times New Roman" w:cs="Times New Roman"/>
          <w:sz w:val="28"/>
          <w:szCs w:val="28"/>
          <w:lang w:val="en-US"/>
        </w:rPr>
        <w:t>Environmental Health. – 2014. – Vol.13(22).</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 xml:space="preserve">Liu, J. </w:t>
      </w:r>
      <w:r w:rsidRPr="00C04F24">
        <w:rPr>
          <w:rFonts w:ascii="Times New Roman" w:eastAsia="Calibri" w:hAnsi="Times New Roman" w:cs="Times New Roman"/>
          <w:sz w:val="28"/>
          <w:szCs w:val="28"/>
          <w:lang w:val="en-US"/>
        </w:rPr>
        <w:t xml:space="preserve">Impact of meteorological factors on the COVID-19 transmission: A multi-city study in China </w:t>
      </w:r>
      <w:r w:rsidRPr="00C04F24">
        <w:rPr>
          <w:rFonts w:ascii="Times New Roman" w:eastAsia="Times New Roman" w:hAnsi="Times New Roman" w:cs="Times New Roman"/>
          <w:sz w:val="28"/>
          <w:szCs w:val="28"/>
          <w:lang w:val="en-US" w:eastAsia="ru-RU"/>
        </w:rPr>
        <w:t xml:space="preserve">[Text] / J. Liu, J. Zhou, J. Yao et al. // </w:t>
      </w:r>
      <w:r w:rsidRPr="00C04F24">
        <w:rPr>
          <w:rFonts w:ascii="Times New Roman" w:eastAsia="Calibri" w:hAnsi="Times New Roman" w:cs="Times New Roman"/>
          <w:sz w:val="28"/>
          <w:szCs w:val="28"/>
          <w:lang w:val="en-US"/>
        </w:rPr>
        <w:t xml:space="preserve"> Sci Total Environ. – 2020. – Vol.726. – P.138-513.</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t>Luo, W.</w:t>
      </w:r>
      <w:r w:rsidRPr="00C04F24">
        <w:rPr>
          <w:rFonts w:ascii="Times New Roman" w:eastAsia="Calibri" w:hAnsi="Times New Roman" w:cs="Times New Roman"/>
          <w:sz w:val="28"/>
          <w:szCs w:val="28"/>
          <w:lang w:val="en-US"/>
        </w:rPr>
        <w:t xml:space="preserve"> The role of absolute humidity on transmission rates of the COVID-19 outbreak (preprint). medRxiv 2020021220022467 </w:t>
      </w:r>
      <w:r w:rsidRPr="00C04F24">
        <w:rPr>
          <w:rFonts w:ascii="Times New Roman" w:eastAsia="Times New Roman" w:hAnsi="Times New Roman" w:cs="Times New Roman"/>
          <w:sz w:val="28"/>
          <w:szCs w:val="28"/>
          <w:lang w:val="en-US" w:eastAsia="ru-RU"/>
        </w:rPr>
        <w:t>[</w:t>
      </w:r>
      <w:r w:rsidRPr="00C04F24">
        <w:rPr>
          <w:rFonts w:ascii="Times New Roman" w:eastAsia="Times New Roman" w:hAnsi="Times New Roman" w:cs="Times New Roman"/>
          <w:sz w:val="28"/>
          <w:szCs w:val="28"/>
          <w:lang w:eastAsia="ru-RU"/>
        </w:rPr>
        <w:t>Электронный</w:t>
      </w:r>
      <w:r w:rsidRPr="00C04F24">
        <w:rPr>
          <w:rFonts w:ascii="Times New Roman" w:eastAsia="Times New Roman" w:hAnsi="Times New Roman" w:cs="Times New Roman"/>
          <w:sz w:val="28"/>
          <w:szCs w:val="28"/>
          <w:lang w:val="en-US" w:eastAsia="ru-RU"/>
        </w:rPr>
        <w:t xml:space="preserve"> </w:t>
      </w:r>
      <w:r w:rsidRPr="00C04F24">
        <w:rPr>
          <w:rFonts w:ascii="Times New Roman" w:eastAsia="Times New Roman" w:hAnsi="Times New Roman" w:cs="Times New Roman"/>
          <w:sz w:val="28"/>
          <w:szCs w:val="28"/>
          <w:lang w:eastAsia="ru-RU"/>
        </w:rPr>
        <w:t>ресурс</w:t>
      </w:r>
      <w:r w:rsidRPr="00C04F24">
        <w:rPr>
          <w:rFonts w:ascii="Times New Roman" w:eastAsia="Times New Roman" w:hAnsi="Times New Roman" w:cs="Times New Roman"/>
          <w:sz w:val="28"/>
          <w:szCs w:val="28"/>
          <w:lang w:val="en-US" w:eastAsia="ru-RU"/>
        </w:rPr>
        <w:t xml:space="preserve">] / W. Luo, M.S. Majumder, D. Lie. – </w:t>
      </w:r>
      <w:r w:rsidRPr="00C04F24">
        <w:rPr>
          <w:rFonts w:ascii="Times New Roman" w:eastAsia="Times New Roman" w:hAnsi="Times New Roman" w:cs="Times New Roman"/>
          <w:sz w:val="28"/>
          <w:szCs w:val="28"/>
          <w:lang w:eastAsia="ru-RU"/>
        </w:rPr>
        <w:t>Режим</w:t>
      </w:r>
      <w:r w:rsidRPr="00C04F24">
        <w:rPr>
          <w:rFonts w:ascii="Times New Roman" w:eastAsia="Times New Roman" w:hAnsi="Times New Roman" w:cs="Times New Roman"/>
          <w:sz w:val="28"/>
          <w:szCs w:val="28"/>
          <w:lang w:val="en-US" w:eastAsia="ru-RU"/>
        </w:rPr>
        <w:t xml:space="preserve"> </w:t>
      </w:r>
      <w:r w:rsidRPr="00C04F24">
        <w:rPr>
          <w:rFonts w:ascii="Times New Roman" w:eastAsia="Times New Roman" w:hAnsi="Times New Roman" w:cs="Times New Roman"/>
          <w:sz w:val="28"/>
          <w:szCs w:val="28"/>
          <w:lang w:eastAsia="ru-RU"/>
        </w:rPr>
        <w:t>доступа</w:t>
      </w:r>
      <w:r w:rsidRPr="00C04F24">
        <w:rPr>
          <w:rFonts w:ascii="Times New Roman" w:eastAsia="Times New Roman" w:hAnsi="Times New Roman" w:cs="Times New Roman"/>
          <w:sz w:val="28"/>
          <w:szCs w:val="28"/>
          <w:lang w:val="en-US" w:eastAsia="ru-RU"/>
        </w:rPr>
        <w:t xml:space="preserve">:  </w:t>
      </w:r>
      <w:hyperlink r:id="rId84" w:history="1">
        <w:r w:rsidRPr="00C04F24">
          <w:rPr>
            <w:rFonts w:ascii="Times New Roman" w:eastAsia="Calibri" w:hAnsi="Times New Roman" w:cs="Times New Roman"/>
            <w:color w:val="0563C1" w:themeColor="hyperlink"/>
            <w:sz w:val="28"/>
            <w:szCs w:val="28"/>
            <w:u w:val="single"/>
            <w:lang w:val="en-US"/>
          </w:rPr>
          <w:t xml:space="preserve">https://doiorg/101101/2020021220022467.2020 . - </w:t>
        </w:r>
        <w:r w:rsidRPr="00C04F24">
          <w:rPr>
            <w:rFonts w:ascii="Times New Roman" w:eastAsia="Calibri" w:hAnsi="Times New Roman" w:cs="Times New Roman"/>
            <w:color w:val="0563C1" w:themeColor="hyperlink"/>
            <w:sz w:val="28"/>
            <w:szCs w:val="28"/>
            <w:u w:val="single"/>
          </w:rPr>
          <w:t>Загл</w:t>
        </w:r>
        <w:r w:rsidRPr="00C04F24">
          <w:rPr>
            <w:rFonts w:ascii="Times New Roman" w:eastAsia="Calibri" w:hAnsi="Times New Roman" w:cs="Times New Roman"/>
            <w:color w:val="0563C1" w:themeColor="hyperlink"/>
            <w:sz w:val="28"/>
            <w:szCs w:val="28"/>
            <w:u w:val="single"/>
            <w:lang w:val="en-US"/>
          </w:rPr>
          <w:t>.</w:t>
        </w:r>
        <w:r w:rsidRPr="00C04F24">
          <w:rPr>
            <w:rFonts w:ascii="Times New Roman" w:eastAsia="Calibri" w:hAnsi="Times New Roman" w:cs="Times New Roman"/>
            <w:color w:val="0563C1" w:themeColor="hyperlink"/>
            <w:sz w:val="28"/>
            <w:szCs w:val="28"/>
            <w:u w:val="single"/>
          </w:rPr>
          <w:t>с</w:t>
        </w:r>
      </w:hyperlink>
      <w:r w:rsidRPr="00C04F24">
        <w:rPr>
          <w:rFonts w:ascii="Times New Roman" w:eastAsia="Calibri" w:hAnsi="Times New Roman" w:cs="Times New Roman"/>
          <w:sz w:val="28"/>
          <w:szCs w:val="28"/>
          <w:lang w:val="en-US"/>
        </w:rPr>
        <w:t xml:space="preserve"> </w:t>
      </w:r>
      <w:r w:rsidRPr="00C04F24">
        <w:rPr>
          <w:rFonts w:ascii="Times New Roman" w:eastAsia="Calibri" w:hAnsi="Times New Roman" w:cs="Times New Roman"/>
          <w:sz w:val="28"/>
          <w:szCs w:val="28"/>
        </w:rPr>
        <w:t>экрана</w:t>
      </w:r>
      <w:r w:rsidRPr="00C04F24">
        <w:rPr>
          <w:rFonts w:ascii="Times New Roman" w:eastAsia="Calibri" w:hAnsi="Times New Roman" w:cs="Times New Roman"/>
          <w:sz w:val="28"/>
          <w:szCs w:val="28"/>
          <w:lang w:val="en-US"/>
        </w:rPr>
        <w:t xml:space="preserve">. </w:t>
      </w:r>
    </w:p>
    <w:p w:rsidR="00C04F24" w:rsidRPr="00C04F24" w:rsidRDefault="00C04F24" w:rsidP="00C04F24">
      <w:pPr>
        <w:numPr>
          <w:ilvl w:val="0"/>
          <w:numId w:val="15"/>
        </w:numPr>
        <w:spacing w:line="360" w:lineRule="auto"/>
        <w:ind w:left="0" w:firstLine="0"/>
        <w:contextualSpacing/>
        <w:jc w:val="both"/>
        <w:rPr>
          <w:rFonts w:ascii="Times New Roman" w:eastAsia="Calibri" w:hAnsi="Times New Roman" w:cs="Times New Roman"/>
          <w:sz w:val="28"/>
          <w:szCs w:val="28"/>
          <w:lang w:val="en-US"/>
        </w:rPr>
      </w:pPr>
      <w:r w:rsidRPr="00C04F24">
        <w:rPr>
          <w:rFonts w:ascii="Times New Roman" w:eastAsia="Calibri" w:hAnsi="Times New Roman" w:cs="Times New Roman"/>
          <w:b/>
          <w:bCs/>
          <w:sz w:val="28"/>
          <w:szCs w:val="28"/>
          <w:lang w:val="en-US"/>
        </w:rPr>
        <w:lastRenderedPageBreak/>
        <w:t>Briz-Redón, Á.</w:t>
      </w:r>
      <w:r w:rsidRPr="00C04F24">
        <w:rPr>
          <w:rFonts w:ascii="Times New Roman" w:eastAsia="Calibri" w:hAnsi="Times New Roman" w:cs="Times New Roman"/>
          <w:sz w:val="28"/>
          <w:szCs w:val="28"/>
          <w:lang w:val="en-US"/>
        </w:rPr>
        <w:t xml:space="preserve"> A spatio-temporal analysis for exploring the effect of temperature on COVID-19 early evolution in Spain </w:t>
      </w:r>
      <w:r w:rsidRPr="00C04F24">
        <w:rPr>
          <w:rFonts w:ascii="Times New Roman" w:eastAsia="Times New Roman" w:hAnsi="Times New Roman" w:cs="Times New Roman"/>
          <w:sz w:val="28"/>
          <w:szCs w:val="28"/>
          <w:lang w:val="en-US" w:eastAsia="ru-RU"/>
        </w:rPr>
        <w:t xml:space="preserve">[Text] / A. Briz-Redon, A. Serrano-Aroca // </w:t>
      </w:r>
      <w:r w:rsidRPr="00C04F24">
        <w:rPr>
          <w:rFonts w:ascii="Times New Roman" w:eastAsia="Calibri" w:hAnsi="Times New Roman" w:cs="Times New Roman"/>
          <w:sz w:val="28"/>
          <w:szCs w:val="28"/>
          <w:lang w:val="en-US"/>
        </w:rPr>
        <w:t>Sci Total Environ. – 2020. – Vol.728. – P.138-811.</w:t>
      </w:r>
    </w:p>
    <w:p w:rsidR="00C04F24" w:rsidRPr="00C04F24" w:rsidRDefault="00C04F24" w:rsidP="00C04F24">
      <w:pPr>
        <w:rPr>
          <w:lang w:val="en-US"/>
        </w:rPr>
      </w:pPr>
    </w:p>
    <w:p w:rsidR="00EF662D" w:rsidRDefault="00EF662D"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Default="000D1F9B" w:rsidP="00EF662D">
      <w:pPr>
        <w:pStyle w:val="a5"/>
        <w:tabs>
          <w:tab w:val="left" w:pos="1276"/>
        </w:tabs>
        <w:spacing w:line="360" w:lineRule="auto"/>
        <w:ind w:left="567"/>
        <w:jc w:val="both"/>
        <w:rPr>
          <w:rFonts w:ascii="Times New Roman" w:hAnsi="Times New Roman"/>
          <w:sz w:val="28"/>
          <w:szCs w:val="28"/>
          <w:lang w:val="en-US"/>
        </w:rPr>
      </w:pPr>
    </w:p>
    <w:p w:rsidR="000D1F9B" w:rsidRPr="00C04F24" w:rsidRDefault="000D1F9B" w:rsidP="00EF662D">
      <w:pPr>
        <w:pStyle w:val="a5"/>
        <w:tabs>
          <w:tab w:val="left" w:pos="1276"/>
        </w:tabs>
        <w:spacing w:line="360" w:lineRule="auto"/>
        <w:ind w:left="567"/>
        <w:jc w:val="both"/>
        <w:rPr>
          <w:rFonts w:ascii="Times New Roman" w:hAnsi="Times New Roman"/>
          <w:sz w:val="28"/>
          <w:szCs w:val="28"/>
          <w:lang w:val="en-US"/>
        </w:rPr>
      </w:pPr>
    </w:p>
    <w:p w:rsidR="00EF662D" w:rsidRPr="00C04F24" w:rsidRDefault="00EF662D" w:rsidP="00EF662D">
      <w:pPr>
        <w:pStyle w:val="a5"/>
        <w:tabs>
          <w:tab w:val="left" w:pos="1276"/>
        </w:tabs>
        <w:spacing w:line="360" w:lineRule="auto"/>
        <w:ind w:left="567"/>
        <w:jc w:val="both"/>
        <w:rPr>
          <w:rFonts w:ascii="Times New Roman" w:hAnsi="Times New Roman"/>
          <w:sz w:val="28"/>
          <w:szCs w:val="28"/>
          <w:lang w:val="en-US"/>
        </w:rPr>
      </w:pPr>
    </w:p>
    <w:p w:rsidR="00EF662D" w:rsidRPr="00C04F24" w:rsidRDefault="00EF662D" w:rsidP="00EF662D">
      <w:pPr>
        <w:pStyle w:val="a5"/>
        <w:tabs>
          <w:tab w:val="left" w:pos="1276"/>
        </w:tabs>
        <w:spacing w:line="360" w:lineRule="auto"/>
        <w:ind w:left="567"/>
        <w:jc w:val="both"/>
        <w:rPr>
          <w:rFonts w:ascii="Times New Roman" w:hAnsi="Times New Roman"/>
          <w:sz w:val="28"/>
          <w:szCs w:val="28"/>
          <w:lang w:val="en-US"/>
        </w:rPr>
      </w:pPr>
    </w:p>
    <w:p w:rsidR="00EF662D" w:rsidRPr="00EF662D" w:rsidRDefault="00EF662D" w:rsidP="00EF662D">
      <w:pPr>
        <w:pStyle w:val="a5"/>
        <w:tabs>
          <w:tab w:val="left" w:pos="1276"/>
        </w:tabs>
        <w:spacing w:line="360" w:lineRule="auto"/>
        <w:ind w:left="567"/>
        <w:jc w:val="right"/>
        <w:rPr>
          <w:rFonts w:ascii="Times New Roman" w:hAnsi="Times New Roman"/>
          <w:b/>
          <w:sz w:val="28"/>
          <w:szCs w:val="28"/>
        </w:rPr>
      </w:pPr>
      <w:r w:rsidRPr="00EF662D">
        <w:rPr>
          <w:rFonts w:ascii="Times New Roman" w:hAnsi="Times New Roman"/>
          <w:b/>
          <w:sz w:val="28"/>
          <w:szCs w:val="28"/>
        </w:rPr>
        <w:lastRenderedPageBreak/>
        <w:t>ПРИЛОЖЕНИЕ 1</w:t>
      </w:r>
    </w:p>
    <w:p w:rsidR="00EF662D" w:rsidRDefault="000D1F9B" w:rsidP="000D1F9B">
      <w:pPr>
        <w:pStyle w:val="a5"/>
        <w:tabs>
          <w:tab w:val="left" w:pos="1276"/>
        </w:tabs>
        <w:spacing w:line="360" w:lineRule="auto"/>
        <w:ind w:left="0"/>
        <w:jc w:val="center"/>
        <w:rPr>
          <w:rFonts w:ascii="Times New Roman" w:hAnsi="Times New Roman"/>
          <w:sz w:val="28"/>
          <w:szCs w:val="28"/>
          <w:lang w:val="en-US"/>
        </w:rPr>
      </w:pPr>
      <w:r>
        <w:rPr>
          <w:noProof/>
          <w:lang w:eastAsia="ru-RU"/>
        </w:rPr>
        <w:drawing>
          <wp:inline distT="0" distB="0" distL="0" distR="0" wp14:anchorId="0FAEE164" wp14:editId="023BEDB1">
            <wp:extent cx="6126479" cy="8458200"/>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3368" t="10403" r="33264" b="7692"/>
                    <a:stretch/>
                  </pic:blipFill>
                  <pic:spPr bwMode="auto">
                    <a:xfrm>
                      <a:off x="0" y="0"/>
                      <a:ext cx="6158770" cy="8502781"/>
                    </a:xfrm>
                    <a:prstGeom prst="rect">
                      <a:avLst/>
                    </a:prstGeom>
                    <a:ln>
                      <a:noFill/>
                    </a:ln>
                    <a:extLst>
                      <a:ext uri="{53640926-AAD7-44D8-BBD7-CCE9431645EC}">
                        <a14:shadowObscured xmlns:a14="http://schemas.microsoft.com/office/drawing/2010/main"/>
                      </a:ext>
                    </a:extLst>
                  </pic:spPr>
                </pic:pic>
              </a:graphicData>
            </a:graphic>
          </wp:inline>
        </w:drawing>
      </w:r>
    </w:p>
    <w:p w:rsidR="000D1F9B" w:rsidRDefault="000D1F9B" w:rsidP="000D1F9B">
      <w:pPr>
        <w:pStyle w:val="a5"/>
        <w:tabs>
          <w:tab w:val="left" w:pos="1276"/>
        </w:tabs>
        <w:spacing w:line="360" w:lineRule="auto"/>
        <w:ind w:left="0"/>
        <w:jc w:val="center"/>
        <w:rPr>
          <w:rFonts w:ascii="Times New Roman" w:hAnsi="Times New Roman"/>
          <w:sz w:val="28"/>
          <w:szCs w:val="28"/>
          <w:lang w:val="en-US"/>
        </w:rPr>
      </w:pPr>
    </w:p>
    <w:p w:rsidR="000D1F9B" w:rsidRDefault="000D1F9B" w:rsidP="000D1F9B">
      <w:pPr>
        <w:pStyle w:val="a5"/>
        <w:tabs>
          <w:tab w:val="left" w:pos="1276"/>
        </w:tabs>
        <w:spacing w:line="360" w:lineRule="auto"/>
        <w:ind w:left="0"/>
        <w:jc w:val="center"/>
        <w:rPr>
          <w:rFonts w:ascii="Times New Roman" w:hAnsi="Times New Roman"/>
          <w:sz w:val="28"/>
          <w:szCs w:val="28"/>
          <w:lang w:val="en-US"/>
        </w:rPr>
      </w:pPr>
      <w:r>
        <w:rPr>
          <w:noProof/>
          <w:lang w:eastAsia="ru-RU"/>
        </w:rPr>
        <w:lastRenderedPageBreak/>
        <w:drawing>
          <wp:inline distT="0" distB="0" distL="0" distR="0" wp14:anchorId="6D059FAE" wp14:editId="27F0647C">
            <wp:extent cx="6107287" cy="836676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32994" t="9740" r="33015" b="7471"/>
                    <a:stretch/>
                  </pic:blipFill>
                  <pic:spPr bwMode="auto">
                    <a:xfrm>
                      <a:off x="0" y="0"/>
                      <a:ext cx="6133068" cy="840207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0D1F9B" w:rsidSect="007C004C">
      <w:pgSz w:w="11906" w:h="16838"/>
      <w:pgMar w:top="1134" w:right="567"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0B4" w:rsidRDefault="004B10B4" w:rsidP="00454AF9">
      <w:pPr>
        <w:spacing w:after="0" w:line="240" w:lineRule="auto"/>
      </w:pPr>
      <w:r>
        <w:separator/>
      </w:r>
    </w:p>
  </w:endnote>
  <w:endnote w:type="continuationSeparator" w:id="0">
    <w:p w:rsidR="004B10B4" w:rsidRDefault="004B10B4" w:rsidP="00454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235634"/>
      <w:docPartObj>
        <w:docPartGallery w:val="Page Numbers (Bottom of Page)"/>
        <w:docPartUnique/>
      </w:docPartObj>
    </w:sdtPr>
    <w:sdtEndPr/>
    <w:sdtContent>
      <w:p w:rsidR="00C04F24" w:rsidRDefault="00C04F24">
        <w:pPr>
          <w:pStyle w:val="ab"/>
          <w:jc w:val="center"/>
        </w:pPr>
        <w:r>
          <w:fldChar w:fldCharType="begin"/>
        </w:r>
        <w:r>
          <w:instrText>PAGE   \* MERGEFORMAT</w:instrText>
        </w:r>
        <w:r>
          <w:fldChar w:fldCharType="separate"/>
        </w:r>
        <w:r w:rsidR="000D1F9B">
          <w:rPr>
            <w:noProof/>
          </w:rPr>
          <w:t>136</w:t>
        </w:r>
        <w:r>
          <w:fldChar w:fldCharType="end"/>
        </w:r>
      </w:p>
    </w:sdtContent>
  </w:sdt>
  <w:p w:rsidR="00C04F24" w:rsidRDefault="00C04F24">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0B4" w:rsidRDefault="004B10B4" w:rsidP="00454AF9">
      <w:pPr>
        <w:spacing w:after="0" w:line="240" w:lineRule="auto"/>
      </w:pPr>
      <w:r>
        <w:separator/>
      </w:r>
    </w:p>
  </w:footnote>
  <w:footnote w:type="continuationSeparator" w:id="0">
    <w:p w:rsidR="004B10B4" w:rsidRDefault="004B10B4" w:rsidP="00454A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F3CE3"/>
    <w:multiLevelType w:val="hybridMultilevel"/>
    <w:tmpl w:val="BE0EC1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C8C1BDC"/>
    <w:multiLevelType w:val="hybridMultilevel"/>
    <w:tmpl w:val="E5604D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CA7667E"/>
    <w:multiLevelType w:val="hybridMultilevel"/>
    <w:tmpl w:val="BB7C1B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E9A1E8D"/>
    <w:multiLevelType w:val="multilevel"/>
    <w:tmpl w:val="6A9C5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7961C4"/>
    <w:multiLevelType w:val="multilevel"/>
    <w:tmpl w:val="CCF45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D2399C"/>
    <w:multiLevelType w:val="hybridMultilevel"/>
    <w:tmpl w:val="7A64F1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32BA4CC7"/>
    <w:multiLevelType w:val="hybridMultilevel"/>
    <w:tmpl w:val="BAAE5D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40B53FB"/>
    <w:multiLevelType w:val="hybridMultilevel"/>
    <w:tmpl w:val="BE0EC1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A0917CA"/>
    <w:multiLevelType w:val="multilevel"/>
    <w:tmpl w:val="BEA68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6C2F44"/>
    <w:multiLevelType w:val="hybridMultilevel"/>
    <w:tmpl w:val="E27EA812"/>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0" w15:restartNumberingAfterBreak="0">
    <w:nsid w:val="43512E35"/>
    <w:multiLevelType w:val="hybridMultilevel"/>
    <w:tmpl w:val="B90EF0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44400811"/>
    <w:multiLevelType w:val="hybridMultilevel"/>
    <w:tmpl w:val="E5604D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468A6C69"/>
    <w:multiLevelType w:val="multilevel"/>
    <w:tmpl w:val="8990E4E0"/>
    <w:lvl w:ilvl="0">
      <w:start w:val="1"/>
      <w:numFmt w:val="decimal"/>
      <w:lvlText w:val="%1."/>
      <w:lvlJc w:val="left"/>
      <w:pPr>
        <w:ind w:left="432" w:hanging="432"/>
      </w:pPr>
    </w:lvl>
    <w:lvl w:ilvl="1">
      <w:start w:val="1"/>
      <w:numFmt w:val="decimal"/>
      <w:lvlText w:val="%1.%2."/>
      <w:lvlJc w:val="left"/>
      <w:pPr>
        <w:ind w:left="1429" w:hanging="720"/>
      </w:pPr>
      <w:rPr>
        <w:b/>
      </w:rPr>
    </w:lvl>
    <w:lvl w:ilvl="2">
      <w:start w:val="1"/>
      <w:numFmt w:val="decimal"/>
      <w:lvlText w:val="%1.%2.%3."/>
      <w:lvlJc w:val="left"/>
      <w:pPr>
        <w:ind w:left="469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15:restartNumberingAfterBreak="0">
    <w:nsid w:val="496B4F60"/>
    <w:multiLevelType w:val="multilevel"/>
    <w:tmpl w:val="F06267F4"/>
    <w:lvl w:ilvl="0">
      <w:start w:val="1"/>
      <w:numFmt w:val="decimal"/>
      <w:lvlText w:val="%1."/>
      <w:lvlJc w:val="left"/>
      <w:pPr>
        <w:ind w:left="720" w:hanging="360"/>
      </w:pPr>
    </w:lvl>
    <w:lvl w:ilvl="1">
      <w:start w:val="2"/>
      <w:numFmt w:val="decimal"/>
      <w:isLgl/>
      <w:lvlText w:val="%1.%2."/>
      <w:lvlJc w:val="left"/>
      <w:pPr>
        <w:ind w:left="1254" w:hanging="720"/>
      </w:pPr>
    </w:lvl>
    <w:lvl w:ilvl="2">
      <w:start w:val="6"/>
      <w:numFmt w:val="decimal"/>
      <w:isLgl/>
      <w:lvlText w:val="%1.%2.%3."/>
      <w:lvlJc w:val="left"/>
      <w:pPr>
        <w:ind w:left="1428" w:hanging="720"/>
      </w:pPr>
    </w:lvl>
    <w:lvl w:ilvl="3">
      <w:start w:val="1"/>
      <w:numFmt w:val="decimal"/>
      <w:isLgl/>
      <w:lvlText w:val="%1.%2.%3.%4."/>
      <w:lvlJc w:val="left"/>
      <w:pPr>
        <w:ind w:left="1962" w:hanging="1080"/>
      </w:pPr>
    </w:lvl>
    <w:lvl w:ilvl="4">
      <w:start w:val="1"/>
      <w:numFmt w:val="decimal"/>
      <w:isLgl/>
      <w:lvlText w:val="%1.%2.%3.%4.%5."/>
      <w:lvlJc w:val="left"/>
      <w:pPr>
        <w:ind w:left="2136" w:hanging="1080"/>
      </w:pPr>
    </w:lvl>
    <w:lvl w:ilvl="5">
      <w:start w:val="1"/>
      <w:numFmt w:val="decimal"/>
      <w:isLgl/>
      <w:lvlText w:val="%1.%2.%3.%4.%5.%6."/>
      <w:lvlJc w:val="left"/>
      <w:pPr>
        <w:ind w:left="2670" w:hanging="1440"/>
      </w:pPr>
    </w:lvl>
    <w:lvl w:ilvl="6">
      <w:start w:val="1"/>
      <w:numFmt w:val="decimal"/>
      <w:isLgl/>
      <w:lvlText w:val="%1.%2.%3.%4.%5.%6.%7."/>
      <w:lvlJc w:val="left"/>
      <w:pPr>
        <w:ind w:left="3204" w:hanging="1800"/>
      </w:pPr>
    </w:lvl>
    <w:lvl w:ilvl="7">
      <w:start w:val="1"/>
      <w:numFmt w:val="decimal"/>
      <w:isLgl/>
      <w:lvlText w:val="%1.%2.%3.%4.%5.%6.%7.%8."/>
      <w:lvlJc w:val="left"/>
      <w:pPr>
        <w:ind w:left="3378" w:hanging="1800"/>
      </w:pPr>
    </w:lvl>
    <w:lvl w:ilvl="8">
      <w:start w:val="1"/>
      <w:numFmt w:val="decimal"/>
      <w:isLgl/>
      <w:lvlText w:val="%1.%2.%3.%4.%5.%6.%7.%8.%9."/>
      <w:lvlJc w:val="left"/>
      <w:pPr>
        <w:ind w:left="3912" w:hanging="2160"/>
      </w:pPr>
    </w:lvl>
  </w:abstractNum>
  <w:abstractNum w:abstractNumId="14" w15:restartNumberingAfterBreak="0">
    <w:nsid w:val="4F18002C"/>
    <w:multiLevelType w:val="hybridMultilevel"/>
    <w:tmpl w:val="71BC9BB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52B11AA7"/>
    <w:multiLevelType w:val="multilevel"/>
    <w:tmpl w:val="717E8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3A2A51"/>
    <w:multiLevelType w:val="hybridMultilevel"/>
    <w:tmpl w:val="BE0EC1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69940DB4"/>
    <w:multiLevelType w:val="hybridMultilevel"/>
    <w:tmpl w:val="870437C0"/>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7BAF31C1"/>
    <w:multiLevelType w:val="hybridMultilevel"/>
    <w:tmpl w:val="8190DE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7CD669CD"/>
    <w:multiLevelType w:val="multilevel"/>
    <w:tmpl w:val="56FE9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4"/>
  </w:num>
  <w:num w:numId="18">
    <w:abstractNumId w:val="0"/>
  </w:num>
  <w:num w:numId="19">
    <w:abstractNumId w:val="14"/>
  </w:num>
  <w:num w:numId="20">
    <w:abstractNumId w:val="9"/>
  </w:num>
  <w:num w:numId="21">
    <w:abstractNumId w:val="19"/>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033"/>
    <w:rsid w:val="00076D39"/>
    <w:rsid w:val="00092C84"/>
    <w:rsid w:val="000A294B"/>
    <w:rsid w:val="000B2DA4"/>
    <w:rsid w:val="000D1F9B"/>
    <w:rsid w:val="000E3EC3"/>
    <w:rsid w:val="00232F5C"/>
    <w:rsid w:val="00241644"/>
    <w:rsid w:val="0032510D"/>
    <w:rsid w:val="00343EA2"/>
    <w:rsid w:val="00352855"/>
    <w:rsid w:val="003D4E8F"/>
    <w:rsid w:val="003E4A5F"/>
    <w:rsid w:val="0040252D"/>
    <w:rsid w:val="004321F3"/>
    <w:rsid w:val="00432293"/>
    <w:rsid w:val="00454AF9"/>
    <w:rsid w:val="00473033"/>
    <w:rsid w:val="004A6EC8"/>
    <w:rsid w:val="004B10B4"/>
    <w:rsid w:val="004D3BA7"/>
    <w:rsid w:val="00537DDE"/>
    <w:rsid w:val="00573AD8"/>
    <w:rsid w:val="00683C2E"/>
    <w:rsid w:val="00693352"/>
    <w:rsid w:val="006B3EB3"/>
    <w:rsid w:val="006C725D"/>
    <w:rsid w:val="007732E8"/>
    <w:rsid w:val="00776051"/>
    <w:rsid w:val="007C004C"/>
    <w:rsid w:val="007C3D04"/>
    <w:rsid w:val="007C4D2F"/>
    <w:rsid w:val="00824D91"/>
    <w:rsid w:val="008A2F75"/>
    <w:rsid w:val="008D5461"/>
    <w:rsid w:val="009D1E29"/>
    <w:rsid w:val="00A964FE"/>
    <w:rsid w:val="00AD1468"/>
    <w:rsid w:val="00AF55C8"/>
    <w:rsid w:val="00B4264C"/>
    <w:rsid w:val="00B52A4D"/>
    <w:rsid w:val="00B979EE"/>
    <w:rsid w:val="00BA5CCC"/>
    <w:rsid w:val="00BC6917"/>
    <w:rsid w:val="00BD2E34"/>
    <w:rsid w:val="00C04F24"/>
    <w:rsid w:val="00D54F4E"/>
    <w:rsid w:val="00E403AA"/>
    <w:rsid w:val="00E43993"/>
    <w:rsid w:val="00E51ED7"/>
    <w:rsid w:val="00EB2490"/>
    <w:rsid w:val="00EF662D"/>
    <w:rsid w:val="00F203EE"/>
    <w:rsid w:val="00F2626D"/>
    <w:rsid w:val="00F60B97"/>
    <w:rsid w:val="00F955A6"/>
    <w:rsid w:val="00FE05F7"/>
    <w:rsid w:val="00FF4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C38C3"/>
  <w15:docId w15:val="{B9CAA1BD-D241-4051-9377-0387A99C1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04F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37D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7732E8"/>
  </w:style>
  <w:style w:type="paragraph" w:customStyle="1" w:styleId="msonormal0">
    <w:name w:val="msonormal"/>
    <w:basedOn w:val="a"/>
    <w:uiPriority w:val="99"/>
    <w:rsid w:val="007732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7732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732E8"/>
    <w:pPr>
      <w:spacing w:line="256" w:lineRule="auto"/>
      <w:ind w:left="720"/>
      <w:contextualSpacing/>
    </w:pPr>
    <w:rPr>
      <w:rFonts w:ascii="Calibri" w:eastAsia="Calibri" w:hAnsi="Calibri" w:cs="Times New Roman"/>
    </w:rPr>
  </w:style>
  <w:style w:type="table" w:customStyle="1" w:styleId="12">
    <w:name w:val="Сетка таблицы1"/>
    <w:basedOn w:val="a1"/>
    <w:uiPriority w:val="39"/>
    <w:rsid w:val="007732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39"/>
    <w:rsid w:val="007732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352855"/>
    <w:rPr>
      <w:color w:val="0563C1" w:themeColor="hyperlink"/>
      <w:u w:val="single"/>
    </w:rPr>
  </w:style>
  <w:style w:type="paragraph" w:customStyle="1" w:styleId="Default">
    <w:name w:val="Default"/>
    <w:rsid w:val="00352855"/>
    <w:pPr>
      <w:autoSpaceDE w:val="0"/>
      <w:autoSpaceDN w:val="0"/>
      <w:adjustRightInd w:val="0"/>
      <w:spacing w:after="0" w:line="240" w:lineRule="auto"/>
    </w:pPr>
    <w:rPr>
      <w:rFonts w:ascii="Cambria" w:eastAsia="Calibri" w:hAnsi="Cambria" w:cs="Cambria"/>
      <w:color w:val="000000"/>
      <w:sz w:val="24"/>
      <w:szCs w:val="24"/>
    </w:rPr>
  </w:style>
  <w:style w:type="character" w:customStyle="1" w:styleId="mixed-citation">
    <w:name w:val="mixed-citation"/>
    <w:basedOn w:val="a0"/>
    <w:rsid w:val="00352855"/>
  </w:style>
  <w:style w:type="character" w:customStyle="1" w:styleId="ref-title">
    <w:name w:val="ref-title"/>
    <w:basedOn w:val="a0"/>
    <w:rsid w:val="00352855"/>
  </w:style>
  <w:style w:type="character" w:customStyle="1" w:styleId="ref-journal">
    <w:name w:val="ref-journal"/>
    <w:basedOn w:val="a0"/>
    <w:rsid w:val="00352855"/>
  </w:style>
  <w:style w:type="character" w:customStyle="1" w:styleId="ref-vol">
    <w:name w:val="ref-vol"/>
    <w:basedOn w:val="a0"/>
    <w:rsid w:val="00352855"/>
  </w:style>
  <w:style w:type="character" w:customStyle="1" w:styleId="ref-iss">
    <w:name w:val="ref-iss"/>
    <w:basedOn w:val="a0"/>
    <w:rsid w:val="00352855"/>
  </w:style>
  <w:style w:type="character" w:customStyle="1" w:styleId="nowrap">
    <w:name w:val="nowrap"/>
    <w:basedOn w:val="a0"/>
    <w:rsid w:val="00352855"/>
  </w:style>
  <w:style w:type="character" w:customStyle="1" w:styleId="element-citation">
    <w:name w:val="element-citation"/>
    <w:basedOn w:val="a0"/>
    <w:rsid w:val="00352855"/>
  </w:style>
  <w:style w:type="paragraph" w:styleId="a7">
    <w:name w:val="Balloon Text"/>
    <w:basedOn w:val="a"/>
    <w:link w:val="a8"/>
    <w:uiPriority w:val="99"/>
    <w:semiHidden/>
    <w:unhideWhenUsed/>
    <w:rsid w:val="0035285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52855"/>
    <w:rPr>
      <w:rFonts w:ascii="Segoe UI" w:hAnsi="Segoe UI" w:cs="Segoe UI"/>
      <w:sz w:val="18"/>
      <w:szCs w:val="18"/>
    </w:rPr>
  </w:style>
  <w:style w:type="paragraph" w:styleId="a9">
    <w:name w:val="header"/>
    <w:basedOn w:val="a"/>
    <w:link w:val="aa"/>
    <w:uiPriority w:val="99"/>
    <w:unhideWhenUsed/>
    <w:rsid w:val="00454AF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54AF9"/>
  </w:style>
  <w:style w:type="paragraph" w:styleId="ab">
    <w:name w:val="footer"/>
    <w:basedOn w:val="a"/>
    <w:link w:val="ac"/>
    <w:uiPriority w:val="99"/>
    <w:unhideWhenUsed/>
    <w:rsid w:val="00454AF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4AF9"/>
  </w:style>
  <w:style w:type="character" w:customStyle="1" w:styleId="10">
    <w:name w:val="Заголовок 1 Знак"/>
    <w:basedOn w:val="a0"/>
    <w:link w:val="1"/>
    <w:uiPriority w:val="9"/>
    <w:rsid w:val="00C04F24"/>
    <w:rPr>
      <w:rFonts w:ascii="Times New Roman" w:eastAsia="Times New Roman" w:hAnsi="Times New Roman" w:cs="Times New Roman"/>
      <w:b/>
      <w:bCs/>
      <w:kern w:val="36"/>
      <w:sz w:val="48"/>
      <w:szCs w:val="48"/>
      <w:lang w:eastAsia="ru-RU"/>
    </w:rPr>
  </w:style>
  <w:style w:type="character" w:customStyle="1" w:styleId="UnresolvedMention">
    <w:name w:val="Unresolved Mention"/>
    <w:basedOn w:val="a0"/>
    <w:uiPriority w:val="99"/>
    <w:semiHidden/>
    <w:unhideWhenUsed/>
    <w:rsid w:val="00C04F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5931">
      <w:bodyDiv w:val="1"/>
      <w:marLeft w:val="0"/>
      <w:marRight w:val="0"/>
      <w:marTop w:val="0"/>
      <w:marBottom w:val="0"/>
      <w:divBdr>
        <w:top w:val="none" w:sz="0" w:space="0" w:color="auto"/>
        <w:left w:val="none" w:sz="0" w:space="0" w:color="auto"/>
        <w:bottom w:val="none" w:sz="0" w:space="0" w:color="auto"/>
        <w:right w:val="none" w:sz="0" w:space="0" w:color="auto"/>
      </w:divBdr>
    </w:div>
    <w:div w:id="59637924">
      <w:bodyDiv w:val="1"/>
      <w:marLeft w:val="0"/>
      <w:marRight w:val="0"/>
      <w:marTop w:val="0"/>
      <w:marBottom w:val="0"/>
      <w:divBdr>
        <w:top w:val="none" w:sz="0" w:space="0" w:color="auto"/>
        <w:left w:val="none" w:sz="0" w:space="0" w:color="auto"/>
        <w:bottom w:val="none" w:sz="0" w:space="0" w:color="auto"/>
        <w:right w:val="none" w:sz="0" w:space="0" w:color="auto"/>
      </w:divBdr>
    </w:div>
    <w:div w:id="139928572">
      <w:bodyDiv w:val="1"/>
      <w:marLeft w:val="0"/>
      <w:marRight w:val="0"/>
      <w:marTop w:val="0"/>
      <w:marBottom w:val="0"/>
      <w:divBdr>
        <w:top w:val="none" w:sz="0" w:space="0" w:color="auto"/>
        <w:left w:val="none" w:sz="0" w:space="0" w:color="auto"/>
        <w:bottom w:val="none" w:sz="0" w:space="0" w:color="auto"/>
        <w:right w:val="none" w:sz="0" w:space="0" w:color="auto"/>
      </w:divBdr>
    </w:div>
    <w:div w:id="236131131">
      <w:bodyDiv w:val="1"/>
      <w:marLeft w:val="0"/>
      <w:marRight w:val="0"/>
      <w:marTop w:val="0"/>
      <w:marBottom w:val="0"/>
      <w:divBdr>
        <w:top w:val="none" w:sz="0" w:space="0" w:color="auto"/>
        <w:left w:val="none" w:sz="0" w:space="0" w:color="auto"/>
        <w:bottom w:val="none" w:sz="0" w:space="0" w:color="auto"/>
        <w:right w:val="none" w:sz="0" w:space="0" w:color="auto"/>
      </w:divBdr>
    </w:div>
    <w:div w:id="257521026">
      <w:bodyDiv w:val="1"/>
      <w:marLeft w:val="0"/>
      <w:marRight w:val="0"/>
      <w:marTop w:val="0"/>
      <w:marBottom w:val="0"/>
      <w:divBdr>
        <w:top w:val="none" w:sz="0" w:space="0" w:color="auto"/>
        <w:left w:val="none" w:sz="0" w:space="0" w:color="auto"/>
        <w:bottom w:val="none" w:sz="0" w:space="0" w:color="auto"/>
        <w:right w:val="none" w:sz="0" w:space="0" w:color="auto"/>
      </w:divBdr>
    </w:div>
    <w:div w:id="726806924">
      <w:bodyDiv w:val="1"/>
      <w:marLeft w:val="0"/>
      <w:marRight w:val="0"/>
      <w:marTop w:val="0"/>
      <w:marBottom w:val="0"/>
      <w:divBdr>
        <w:top w:val="none" w:sz="0" w:space="0" w:color="auto"/>
        <w:left w:val="none" w:sz="0" w:space="0" w:color="auto"/>
        <w:bottom w:val="none" w:sz="0" w:space="0" w:color="auto"/>
        <w:right w:val="none" w:sz="0" w:space="0" w:color="auto"/>
      </w:divBdr>
    </w:div>
    <w:div w:id="846869345">
      <w:bodyDiv w:val="1"/>
      <w:marLeft w:val="0"/>
      <w:marRight w:val="0"/>
      <w:marTop w:val="0"/>
      <w:marBottom w:val="0"/>
      <w:divBdr>
        <w:top w:val="none" w:sz="0" w:space="0" w:color="auto"/>
        <w:left w:val="none" w:sz="0" w:space="0" w:color="auto"/>
        <w:bottom w:val="none" w:sz="0" w:space="0" w:color="auto"/>
        <w:right w:val="none" w:sz="0" w:space="0" w:color="auto"/>
      </w:divBdr>
    </w:div>
    <w:div w:id="947003310">
      <w:bodyDiv w:val="1"/>
      <w:marLeft w:val="0"/>
      <w:marRight w:val="0"/>
      <w:marTop w:val="0"/>
      <w:marBottom w:val="0"/>
      <w:divBdr>
        <w:top w:val="none" w:sz="0" w:space="0" w:color="auto"/>
        <w:left w:val="none" w:sz="0" w:space="0" w:color="auto"/>
        <w:bottom w:val="none" w:sz="0" w:space="0" w:color="auto"/>
        <w:right w:val="none" w:sz="0" w:space="0" w:color="auto"/>
      </w:divBdr>
    </w:div>
    <w:div w:id="1180051363">
      <w:bodyDiv w:val="1"/>
      <w:marLeft w:val="0"/>
      <w:marRight w:val="0"/>
      <w:marTop w:val="0"/>
      <w:marBottom w:val="0"/>
      <w:divBdr>
        <w:top w:val="none" w:sz="0" w:space="0" w:color="auto"/>
        <w:left w:val="none" w:sz="0" w:space="0" w:color="auto"/>
        <w:bottom w:val="none" w:sz="0" w:space="0" w:color="auto"/>
        <w:right w:val="none" w:sz="0" w:space="0" w:color="auto"/>
      </w:divBdr>
    </w:div>
    <w:div w:id="1396276598">
      <w:bodyDiv w:val="1"/>
      <w:marLeft w:val="0"/>
      <w:marRight w:val="0"/>
      <w:marTop w:val="0"/>
      <w:marBottom w:val="0"/>
      <w:divBdr>
        <w:top w:val="none" w:sz="0" w:space="0" w:color="auto"/>
        <w:left w:val="none" w:sz="0" w:space="0" w:color="auto"/>
        <w:bottom w:val="none" w:sz="0" w:space="0" w:color="auto"/>
        <w:right w:val="none" w:sz="0" w:space="0" w:color="auto"/>
      </w:divBdr>
    </w:div>
    <w:div w:id="1425685501">
      <w:bodyDiv w:val="1"/>
      <w:marLeft w:val="0"/>
      <w:marRight w:val="0"/>
      <w:marTop w:val="0"/>
      <w:marBottom w:val="0"/>
      <w:divBdr>
        <w:top w:val="none" w:sz="0" w:space="0" w:color="auto"/>
        <w:left w:val="none" w:sz="0" w:space="0" w:color="auto"/>
        <w:bottom w:val="none" w:sz="0" w:space="0" w:color="auto"/>
        <w:right w:val="none" w:sz="0" w:space="0" w:color="auto"/>
      </w:divBdr>
    </w:div>
    <w:div w:id="1610552076">
      <w:bodyDiv w:val="1"/>
      <w:marLeft w:val="0"/>
      <w:marRight w:val="0"/>
      <w:marTop w:val="0"/>
      <w:marBottom w:val="0"/>
      <w:divBdr>
        <w:top w:val="none" w:sz="0" w:space="0" w:color="auto"/>
        <w:left w:val="none" w:sz="0" w:space="0" w:color="auto"/>
        <w:bottom w:val="none" w:sz="0" w:space="0" w:color="auto"/>
        <w:right w:val="none" w:sz="0" w:space="0" w:color="auto"/>
      </w:divBdr>
    </w:div>
    <w:div w:id="1845514298">
      <w:bodyDiv w:val="1"/>
      <w:marLeft w:val="0"/>
      <w:marRight w:val="0"/>
      <w:marTop w:val="0"/>
      <w:marBottom w:val="0"/>
      <w:divBdr>
        <w:top w:val="none" w:sz="0" w:space="0" w:color="auto"/>
        <w:left w:val="none" w:sz="0" w:space="0" w:color="auto"/>
        <w:bottom w:val="none" w:sz="0" w:space="0" w:color="auto"/>
        <w:right w:val="none" w:sz="0" w:space="0" w:color="auto"/>
      </w:divBdr>
    </w:div>
    <w:div w:id="202454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6.xml"/><Relationship Id="rId39" Type="http://schemas.openxmlformats.org/officeDocument/2006/relationships/hyperlink" Target="https://news.un.org/ru/story/2021/05/1403362" TargetMode="External"/><Relationship Id="rId21" Type="http://schemas.openxmlformats.org/officeDocument/2006/relationships/image" Target="media/image12.png"/><Relationship Id="rId34" Type="http://schemas.openxmlformats.org/officeDocument/2006/relationships/image" Target="media/image18.png"/><Relationship Id="rId42" Type="http://schemas.openxmlformats.org/officeDocument/2006/relationships/hyperlink" Target="https://ru.wikipedia.org/w/index.php?title=%D0%A1%D0%BB%D1%83%D0%B6%D0%B5%D0%B1%D0%BD%D0%B0%D1%8F:DownloadAsPdf&amp;page=%D0%9F%D0%B0%D0%BD%D0%B4%D0%B5%D0%BC%D0%B8%D1%8F_COVID-19&amp;action=show-download-screen" TargetMode="External"/><Relationship Id="rId47" Type="http://schemas.openxmlformats.org/officeDocument/2006/relationships/hyperlink" Target="http://www.cdc.go.kr" TargetMode="External"/><Relationship Id="rId50" Type="http://schemas.openxmlformats.org/officeDocument/2006/relationships/hyperlink" Target="http://www.stopkoronovirus.ru" TargetMode="External"/><Relationship Id="rId55" Type="http://schemas.openxmlformats.org/officeDocument/2006/relationships/hyperlink" Target="https://www.who.int/publications/i/item/WHO-2019-nCoV-clinical-2021-1" TargetMode="External"/><Relationship Id="rId63" Type="http://schemas.openxmlformats.org/officeDocument/2006/relationships/hyperlink" Target="https://ahpnetwork.com/wp-content/uploads/2021/01/Brief_Am-Coll-Rheum_MIS-C-guidelines-Nov-2020.pdf" TargetMode="External"/><Relationship Id="rId68" Type="http://schemas.openxmlformats.org/officeDocument/2006/relationships/hyperlink" Target="https://www.nice.org.uk/guidance/ng176/" TargetMode="External"/><Relationship Id="rId76" Type="http://schemas.openxmlformats.org/officeDocument/2006/relationships/hyperlink" Target="https://www.gov.uk/government/publications/covid-19-long-term-health" TargetMode="External"/><Relationship Id="rId84" Type="http://schemas.openxmlformats.org/officeDocument/2006/relationships/hyperlink" Target="https://doiorg/101101/2020021220022467.2020%20.%20-%20&#1047;&#1072;&#1075;&#1083;.&#1089;" TargetMode="External"/><Relationship Id="rId7" Type="http://schemas.openxmlformats.org/officeDocument/2006/relationships/endnotes" Target="endnotes.xml"/><Relationship Id="rId71" Type="http://schemas.openxmlformats.org/officeDocument/2006/relationships/hyperlink" Target="https://www.nice.org.uk/guidance/ng166"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png"/><Relationship Id="rId11" Type="http://schemas.openxmlformats.org/officeDocument/2006/relationships/chart" Target="charts/chart1.xml"/><Relationship Id="rId24" Type="http://schemas.openxmlformats.org/officeDocument/2006/relationships/chart" Target="charts/chart4.xml"/><Relationship Id="rId32" Type="http://schemas.openxmlformats.org/officeDocument/2006/relationships/image" Target="media/image16.png"/><Relationship Id="rId37" Type="http://schemas.openxmlformats.org/officeDocument/2006/relationships/hyperlink" Target="https://www.nature.com/articles/s41586-020-2180-5" TargetMode="External"/><Relationship Id="rId40" Type="http://schemas.openxmlformats.org/officeDocument/2006/relationships/hyperlink" Target="https://akipress.org/dolbor/covid-19/?hl=ru" TargetMode="External"/><Relationship Id="rId45" Type="http://schemas.openxmlformats.org/officeDocument/2006/relationships/hyperlink" Target="https://www.rki.de/DE/Content/InfAZ/N/Neuartiges_Coronavirus/Gestiegene_Fallzahlen.html" TargetMode="External"/><Relationship Id="rId53" Type="http://schemas.openxmlformats.org/officeDocument/2006/relationships/hyperlink" Target="https://www.mayoclinic.org/diseases-conditions/coronavirus/symptoms-causes/syc-20479963" TargetMode="External"/><Relationship Id="rId58" Type="http://schemas.openxmlformats.org/officeDocument/2006/relationships/hyperlink" Target="https://www.nice.org.uk/guidance/ng186" TargetMode="External"/><Relationship Id="rId66" Type="http://schemas.openxmlformats.org/officeDocument/2006/relationships/hyperlink" Target="https://www.fda.gov/media/136151/download" TargetMode="External"/><Relationship Id="rId74" Type="http://schemas.openxmlformats.org/officeDocument/2006/relationships/hyperlink" Target="https://www.sign.ac.uk/media/1373/sg_shielding_guidance.pdf" TargetMode="External"/><Relationship Id="rId79" Type="http://schemas.openxmlformats.org/officeDocument/2006/relationships/hyperlink" Target="https://doi.org/10.3390/su12062427"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sign.ac.uk/media/1691/sg_prevention_of_thromboembolism_in_hospitalised_patients.pdf" TargetMode="External"/><Relationship Id="rId82" Type="http://schemas.openxmlformats.org/officeDocument/2006/relationships/hyperlink" Target="https://doi.org/10.1101/2020.07.25.20161919"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4.png"/><Relationship Id="rId35" Type="http://schemas.openxmlformats.org/officeDocument/2006/relationships/hyperlink" Target="http://www.cdc.gov/coronavirus/2019-ncov/about/index.html" TargetMode="External"/><Relationship Id="rId43" Type="http://schemas.openxmlformats.org/officeDocument/2006/relationships/hyperlink" Target="https://www.info.gouv.fr/alerte/covid19" TargetMode="External"/><Relationship Id="rId48" Type="http://schemas.openxmlformats.org/officeDocument/2006/relationships/hyperlink" Target="http://www.opendatadpc.maps.arcgis.com" TargetMode="External"/><Relationship Id="rId56" Type="http://schemas.openxmlformats.org/officeDocument/2006/relationships/hyperlink" Target="https://www.nice.org.uk/guidance/ng186" TargetMode="External"/><Relationship Id="rId64" Type="http://schemas.openxmlformats.org/officeDocument/2006/relationships/hyperlink" Target="https://bestpractice.bmj.com/topics/en-gb/3000190" TargetMode="External"/><Relationship Id="rId69" Type="http://schemas.openxmlformats.org/officeDocument/2006/relationships/hyperlink" Target="https://www.nice.org.uk/guidance/ng168" TargetMode="External"/><Relationship Id="rId77" Type="http://schemas.openxmlformats.org/officeDocument/2006/relationships/hyperlink" Target="https://jamanetwork.com/journals/jama/fullarticle/2768351" TargetMode="External"/><Relationship Id="rId8" Type="http://schemas.openxmlformats.org/officeDocument/2006/relationships/image" Target="media/image1.jpeg"/><Relationship Id="rId51" Type="http://schemas.openxmlformats.org/officeDocument/2006/relationships/hyperlink" Target="https://www.uptodate.com/contents/coronavirus-disease-2019-covid-19-pregnancy-issues" TargetMode="External"/><Relationship Id="rId72" Type="http://schemas.openxmlformats.org/officeDocument/2006/relationships/hyperlink" Target="https://pmc.ncbi.nlm.nih.gov/articles/PMC10512043/" TargetMode="External"/><Relationship Id="rId80" Type="http://schemas.openxmlformats.org/officeDocument/2006/relationships/hyperlink" Target="https://doi.org/10.3390/ijerph17114047" TargetMode="External"/><Relationship Id="rId85"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5.xml"/><Relationship Id="rId33" Type="http://schemas.openxmlformats.org/officeDocument/2006/relationships/image" Target="media/image17.png"/><Relationship Id="rId38" Type="http://schemas.openxmlformats.org/officeDocument/2006/relationships/hyperlink" Target="https://www.cdc.gov/coronavirus/types.html" TargetMode="External"/><Relationship Id="rId46" Type="http://schemas.openxmlformats.org/officeDocument/2006/relationships/hyperlink" Target="https://g1.globo.com/bemestar/coronavirus/noticia/2020/05/13/casos-de-coronavirus-e-numero-de-mortes-no-brasil-em-13-de-maio.ghtml" TargetMode="External"/><Relationship Id="rId59" Type="http://schemas.openxmlformats.org/officeDocument/2006/relationships/hyperlink" Target="https://www.sign.ac.uk/our-guidelines/assessment-of-covid-19-in-primary-care/" TargetMode="External"/><Relationship Id="rId67" Type="http://schemas.openxmlformats.org/officeDocument/2006/relationships/hyperlink" Target="https://www.anawa.ch/read/newsletter-26/sars-cov-2-covid-19-diagnosis-by-2264.html" TargetMode="External"/><Relationship Id="rId20" Type="http://schemas.openxmlformats.org/officeDocument/2006/relationships/image" Target="media/image11.png"/><Relationship Id="rId41" Type="http://schemas.openxmlformats.org/officeDocument/2006/relationships/hyperlink" Target="http://www.stat.kg/ru/opendata/category/39" TargetMode="External"/><Relationship Id="rId54" Type="http://schemas.openxmlformats.org/officeDocument/2006/relationships/hyperlink" Target="https://www.who.int/publications/i/item/WHO-2019-nCoV-clinical-2021-1" TargetMode="External"/><Relationship Id="rId62" Type="http://schemas.openxmlformats.org/officeDocument/2006/relationships/hyperlink" Target="https://pubmed.ncbi.nlm.nih.gov/35118829/" TargetMode="External"/><Relationship Id="rId70" Type="http://schemas.openxmlformats.org/officeDocument/2006/relationships/hyperlink" Target="https://www.nice.org.uk/guidance/ng167" TargetMode="External"/><Relationship Id="rId75" Type="http://schemas.openxmlformats.org/officeDocument/2006/relationships/hyperlink" Target="http://www.nice.org.uk/Guidance/CG92" TargetMode="External"/><Relationship Id="rId83" Type="http://schemas.openxmlformats.org/officeDocument/2006/relationships/hyperlink" Target="https://doi.org/10.1101/2020.05.15.20101097"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s://www.euro.who.int/en/health-topics/health-emergencies/coronavirus-covid-19/news/news/2020/3/who-announces-covid-19-outbreak-a-pandemic" TargetMode="External"/><Relationship Id="rId49" Type="http://schemas.openxmlformats.org/officeDocument/2006/relationships/hyperlink" Target="http://www.coronavirus.data.gov.uk" TargetMode="External"/><Relationship Id="rId57" Type="http://schemas.openxmlformats.org/officeDocument/2006/relationships/hyperlink" Target="https://www.nice.org.uk/guidance/ng186" TargetMode="Externa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hyperlink" Target="https://cyberleninka.ru/article/n/problemy-kvalifikatsii-i-razgranicheniya-politicheskih-i-administrativnyh-avtonomiy-opyt-frantsuzskih-territoriy" TargetMode="External"/><Relationship Id="rId52" Type="http://schemas.openxmlformats.org/officeDocument/2006/relationships/hyperlink" Target="https://med.kg/prikazy" TargetMode="External"/><Relationship Id="rId60" Type="http://schemas.openxmlformats.org/officeDocument/2006/relationships/hyperlink" Target="https://www.sign.ac.uk/our-guidelines/managing-the-long-term-effects-of-covid-19/" TargetMode="External"/><Relationship Id="rId65" Type="http://schemas.openxmlformats.org/officeDocument/2006/relationships/hyperlink" Target="https://saksalamat.kg/wp-content/uploads/2022/01/6-ya-versiya-KR-COVID-19-zakl._13.01.22..pdf" TargetMode="External"/><Relationship Id="rId73" Type="http://schemas.openxmlformats.org/officeDocument/2006/relationships/hyperlink" Target="https://www.sign.ac.uk/media/1787/sg-maternal-critical-care-provision_v33.pdf" TargetMode="External"/><Relationship Id="rId78" Type="http://schemas.openxmlformats.org/officeDocument/2006/relationships/hyperlink" Target="https://doi.org/10.1136/bmj.m3026" TargetMode="External"/><Relationship Id="rId81" Type="http://schemas.openxmlformats.org/officeDocument/2006/relationships/hyperlink" Target="https://pubmed.ncbi.nlm.nih.gov/17307207/" TargetMode="External"/><Relationship Id="rId86" Type="http://schemas.openxmlformats.org/officeDocument/2006/relationships/image" Target="media/image20.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Лист1!$B$1</c:f>
              <c:strCache>
                <c:ptCount val="1"/>
                <c:pt idx="0">
                  <c:v>Высокогорье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Кашель </c:v>
                </c:pt>
                <c:pt idx="1">
                  <c:v>Одышка</c:v>
                </c:pt>
                <c:pt idx="2">
                  <c:v>Аноксия</c:v>
                </c:pt>
                <c:pt idx="3">
                  <c:v>Агевзия</c:v>
                </c:pt>
                <c:pt idx="4">
                  <c:v>Боль в горле</c:v>
                </c:pt>
                <c:pt idx="5">
                  <c:v>Озноб</c:v>
                </c:pt>
                <c:pt idx="6">
                  <c:v>Симптомы общей интоксикации</c:v>
                </c:pt>
                <c:pt idx="7">
                  <c:v>Симтомы дислексии</c:v>
                </c:pt>
                <c:pt idx="8">
                  <c:v>Ринорея</c:v>
                </c:pt>
                <c:pt idx="9">
                  <c:v>Боль и чувство тяжести в груди </c:v>
                </c:pt>
                <c:pt idx="10">
                  <c:v>Наличие сопутсвующих патологии </c:v>
                </c:pt>
                <c:pt idx="11">
                  <c:v>Полное выздоровление </c:v>
                </c:pt>
                <c:pt idx="12">
                  <c:v>Гипертермия выше 38</c:v>
                </c:pt>
                <c:pt idx="13">
                  <c:v>Цианоз</c:v>
                </c:pt>
                <c:pt idx="14">
                  <c:v>Наличие хрипов </c:v>
                </c:pt>
              </c:strCache>
            </c:strRef>
          </c:cat>
          <c:val>
            <c:numRef>
              <c:f>Лист1!$B$2:$B$16</c:f>
              <c:numCache>
                <c:formatCode>General</c:formatCode>
                <c:ptCount val="15"/>
                <c:pt idx="0">
                  <c:v>97.6</c:v>
                </c:pt>
                <c:pt idx="1">
                  <c:v>38.200000000000003</c:v>
                </c:pt>
                <c:pt idx="2">
                  <c:v>14.7</c:v>
                </c:pt>
                <c:pt idx="3">
                  <c:v>6.1</c:v>
                </c:pt>
                <c:pt idx="4">
                  <c:v>79.3</c:v>
                </c:pt>
                <c:pt idx="5">
                  <c:v>92.7</c:v>
                </c:pt>
                <c:pt idx="6">
                  <c:v>80.099999999999994</c:v>
                </c:pt>
                <c:pt idx="7">
                  <c:v>12.3</c:v>
                </c:pt>
                <c:pt idx="8">
                  <c:v>48.9</c:v>
                </c:pt>
                <c:pt idx="9">
                  <c:v>31.4</c:v>
                </c:pt>
                <c:pt idx="10">
                  <c:v>63.3</c:v>
                </c:pt>
                <c:pt idx="11">
                  <c:v>85.2</c:v>
                </c:pt>
                <c:pt idx="12">
                  <c:v>31.9</c:v>
                </c:pt>
                <c:pt idx="13">
                  <c:v>17.8</c:v>
                </c:pt>
                <c:pt idx="14">
                  <c:v>37.4</c:v>
                </c:pt>
              </c:numCache>
            </c:numRef>
          </c:val>
          <c:extLst>
            <c:ext xmlns:c16="http://schemas.microsoft.com/office/drawing/2014/chart" uri="{C3380CC4-5D6E-409C-BE32-E72D297353CC}">
              <c16:uniqueId val="{00000000-5262-4213-AE9F-93017122C2DC}"/>
            </c:ext>
          </c:extLst>
        </c:ser>
        <c:ser>
          <c:idx val="1"/>
          <c:order val="1"/>
          <c:tx>
            <c:strRef>
              <c:f>Лист1!$C$1</c:f>
              <c:strCache>
                <c:ptCount val="1"/>
                <c:pt idx="0">
                  <c:v>Среднегорье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Кашель </c:v>
                </c:pt>
                <c:pt idx="1">
                  <c:v>Одышка</c:v>
                </c:pt>
                <c:pt idx="2">
                  <c:v>Аноксия</c:v>
                </c:pt>
                <c:pt idx="3">
                  <c:v>Агевзия</c:v>
                </c:pt>
                <c:pt idx="4">
                  <c:v>Боль в горле</c:v>
                </c:pt>
                <c:pt idx="5">
                  <c:v>Озноб</c:v>
                </c:pt>
                <c:pt idx="6">
                  <c:v>Симптомы общей интоксикации</c:v>
                </c:pt>
                <c:pt idx="7">
                  <c:v>Симтомы дислексии</c:v>
                </c:pt>
                <c:pt idx="8">
                  <c:v>Ринорея</c:v>
                </c:pt>
                <c:pt idx="9">
                  <c:v>Боль и чувство тяжести в груди </c:v>
                </c:pt>
                <c:pt idx="10">
                  <c:v>Наличие сопутсвующих патологии </c:v>
                </c:pt>
                <c:pt idx="11">
                  <c:v>Полное выздоровление </c:v>
                </c:pt>
                <c:pt idx="12">
                  <c:v>Гипертермия выше 38</c:v>
                </c:pt>
                <c:pt idx="13">
                  <c:v>Цианоз</c:v>
                </c:pt>
                <c:pt idx="14">
                  <c:v>Наличие хрипов </c:v>
                </c:pt>
              </c:strCache>
            </c:strRef>
          </c:cat>
          <c:val>
            <c:numRef>
              <c:f>Лист1!$C$2:$C$16</c:f>
              <c:numCache>
                <c:formatCode>General</c:formatCode>
                <c:ptCount val="15"/>
                <c:pt idx="0">
                  <c:v>98.2</c:v>
                </c:pt>
                <c:pt idx="1">
                  <c:v>14.5</c:v>
                </c:pt>
                <c:pt idx="2">
                  <c:v>17.899999999999999</c:v>
                </c:pt>
                <c:pt idx="3">
                  <c:v>5.7</c:v>
                </c:pt>
                <c:pt idx="4">
                  <c:v>72.599999999999994</c:v>
                </c:pt>
                <c:pt idx="5">
                  <c:v>90.1</c:v>
                </c:pt>
                <c:pt idx="6">
                  <c:v>77.2</c:v>
                </c:pt>
                <c:pt idx="7">
                  <c:v>10.199999999999999</c:v>
                </c:pt>
                <c:pt idx="8">
                  <c:v>61.7</c:v>
                </c:pt>
                <c:pt idx="9">
                  <c:v>21.3</c:v>
                </c:pt>
                <c:pt idx="10">
                  <c:v>57.4</c:v>
                </c:pt>
                <c:pt idx="11">
                  <c:v>88.3</c:v>
                </c:pt>
                <c:pt idx="12">
                  <c:v>41.7</c:v>
                </c:pt>
                <c:pt idx="13">
                  <c:v>10.199999999999999</c:v>
                </c:pt>
                <c:pt idx="14">
                  <c:v>29.2</c:v>
                </c:pt>
              </c:numCache>
            </c:numRef>
          </c:val>
          <c:extLst>
            <c:ext xmlns:c16="http://schemas.microsoft.com/office/drawing/2014/chart" uri="{C3380CC4-5D6E-409C-BE32-E72D297353CC}">
              <c16:uniqueId val="{00000001-5262-4213-AE9F-93017122C2DC}"/>
            </c:ext>
          </c:extLst>
        </c:ser>
        <c:ser>
          <c:idx val="2"/>
          <c:order val="2"/>
          <c:tx>
            <c:strRef>
              <c:f>Лист1!$D$1</c:f>
              <c:strCache>
                <c:ptCount val="1"/>
                <c:pt idx="0">
                  <c:v>Низкогорье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Кашель </c:v>
                </c:pt>
                <c:pt idx="1">
                  <c:v>Одышка</c:v>
                </c:pt>
                <c:pt idx="2">
                  <c:v>Аноксия</c:v>
                </c:pt>
                <c:pt idx="3">
                  <c:v>Агевзия</c:v>
                </c:pt>
                <c:pt idx="4">
                  <c:v>Боль в горле</c:v>
                </c:pt>
                <c:pt idx="5">
                  <c:v>Озноб</c:v>
                </c:pt>
                <c:pt idx="6">
                  <c:v>Симптомы общей интоксикации</c:v>
                </c:pt>
                <c:pt idx="7">
                  <c:v>Симтомы дислексии</c:v>
                </c:pt>
                <c:pt idx="8">
                  <c:v>Ринорея</c:v>
                </c:pt>
                <c:pt idx="9">
                  <c:v>Боль и чувство тяжести в груди </c:v>
                </c:pt>
                <c:pt idx="10">
                  <c:v>Наличие сопутсвующих патологии </c:v>
                </c:pt>
                <c:pt idx="11">
                  <c:v>Полное выздоровление </c:v>
                </c:pt>
                <c:pt idx="12">
                  <c:v>Гипертермия выше 38</c:v>
                </c:pt>
                <c:pt idx="13">
                  <c:v>Цианоз</c:v>
                </c:pt>
                <c:pt idx="14">
                  <c:v>Наличие хрипов </c:v>
                </c:pt>
              </c:strCache>
            </c:strRef>
          </c:cat>
          <c:val>
            <c:numRef>
              <c:f>Лист1!$D$2:$D$16</c:f>
              <c:numCache>
                <c:formatCode>General</c:formatCode>
                <c:ptCount val="15"/>
                <c:pt idx="0">
                  <c:v>97.5</c:v>
                </c:pt>
                <c:pt idx="1">
                  <c:v>24.8</c:v>
                </c:pt>
                <c:pt idx="2">
                  <c:v>15.2</c:v>
                </c:pt>
                <c:pt idx="3">
                  <c:v>7.2</c:v>
                </c:pt>
                <c:pt idx="4">
                  <c:v>83.1</c:v>
                </c:pt>
                <c:pt idx="5">
                  <c:v>87.3</c:v>
                </c:pt>
                <c:pt idx="6">
                  <c:v>71.8</c:v>
                </c:pt>
                <c:pt idx="7">
                  <c:v>7.1</c:v>
                </c:pt>
                <c:pt idx="8">
                  <c:v>59.1</c:v>
                </c:pt>
                <c:pt idx="9">
                  <c:v>27.9</c:v>
                </c:pt>
                <c:pt idx="10">
                  <c:v>45.7</c:v>
                </c:pt>
                <c:pt idx="11">
                  <c:v>92.7</c:v>
                </c:pt>
                <c:pt idx="12">
                  <c:v>35.1</c:v>
                </c:pt>
                <c:pt idx="13">
                  <c:v>15.2</c:v>
                </c:pt>
                <c:pt idx="14">
                  <c:v>31.8</c:v>
                </c:pt>
              </c:numCache>
            </c:numRef>
          </c:val>
          <c:extLst>
            <c:ext xmlns:c16="http://schemas.microsoft.com/office/drawing/2014/chart" uri="{C3380CC4-5D6E-409C-BE32-E72D297353CC}">
              <c16:uniqueId val="{00000002-5262-4213-AE9F-93017122C2DC}"/>
            </c:ext>
          </c:extLst>
        </c:ser>
        <c:dLbls>
          <c:dLblPos val="ctr"/>
          <c:showLegendKey val="0"/>
          <c:showVal val="1"/>
          <c:showCatName val="0"/>
          <c:showSerName val="0"/>
          <c:showPercent val="0"/>
          <c:showBubbleSize val="0"/>
        </c:dLbls>
        <c:gapWidth val="79"/>
        <c:overlap val="100"/>
        <c:axId val="266110464"/>
        <c:axId val="266112000"/>
      </c:barChart>
      <c:catAx>
        <c:axId val="266110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ru-RU"/>
          </a:p>
        </c:txPr>
        <c:crossAx val="266112000"/>
        <c:crosses val="autoZero"/>
        <c:auto val="1"/>
        <c:lblAlgn val="ctr"/>
        <c:lblOffset val="100"/>
        <c:noMultiLvlLbl val="0"/>
      </c:catAx>
      <c:valAx>
        <c:axId val="266112000"/>
        <c:scaling>
          <c:orientation val="minMax"/>
        </c:scaling>
        <c:delete val="1"/>
        <c:axPos val="l"/>
        <c:numFmt formatCode="0%" sourceLinked="1"/>
        <c:majorTickMark val="none"/>
        <c:minorTickMark val="none"/>
        <c:tickLblPos val="nextTo"/>
        <c:crossAx val="266110464"/>
        <c:crosses val="autoZero"/>
        <c:crossBetween val="between"/>
      </c:valAx>
      <c:spPr>
        <a:noFill/>
        <a:ln>
          <a:noFill/>
        </a:ln>
        <a:effectLst/>
      </c:spPr>
    </c:plotArea>
    <c:legend>
      <c:legendPos val="t"/>
      <c:layout>
        <c:manualLayout>
          <c:xMode val="edge"/>
          <c:yMode val="edge"/>
          <c:x val="0.2329116545944124"/>
          <c:y val="0"/>
          <c:w val="0.52828725472920113"/>
          <c:h val="7.00830824455766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Лист1!$B$1</c:f>
              <c:strCache>
                <c:ptCount val="1"/>
                <c:pt idx="0">
                  <c:v>Высокогорье</c:v>
                </c:pt>
              </c:strCache>
            </c:strRef>
          </c:tx>
          <c:spPr>
            <a:solidFill>
              <a:schemeClr val="accent1"/>
            </a:solidFill>
            <a:ln>
              <a:noFill/>
            </a:ln>
            <a:effectLst/>
          </c:spPr>
          <c:invertIfNegative val="0"/>
          <c:dLbls>
            <c:spPr>
              <a:noFill/>
              <a:ln>
                <a:noFill/>
              </a:ln>
              <a:effectLst/>
            </c:spPr>
            <c:txPr>
              <a:bodyPr rot="0" vert="horz"/>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Инфильтрация </c:v>
                </c:pt>
                <c:pt idx="1">
                  <c:v>Затемнение полей </c:v>
                </c:pt>
                <c:pt idx="2">
                  <c:v>Усиление легочного рисунка </c:v>
                </c:pt>
                <c:pt idx="3">
                  <c:v>Процентное поражение легких </c:v>
                </c:pt>
                <c:pt idx="4">
                  <c:v>Патология конфигурации сердца </c:v>
                </c:pt>
                <c:pt idx="5">
                  <c:v>Жидкость в плевральной полости </c:v>
                </c:pt>
              </c:strCache>
            </c:strRef>
          </c:cat>
          <c:val>
            <c:numRef>
              <c:f>Лист1!$B$2:$B$7</c:f>
              <c:numCache>
                <c:formatCode>General</c:formatCode>
                <c:ptCount val="6"/>
                <c:pt idx="0">
                  <c:v>31.3</c:v>
                </c:pt>
                <c:pt idx="1">
                  <c:v>22.4</c:v>
                </c:pt>
                <c:pt idx="2">
                  <c:v>15.4</c:v>
                </c:pt>
                <c:pt idx="3">
                  <c:v>27.4</c:v>
                </c:pt>
                <c:pt idx="4">
                  <c:v>3.9</c:v>
                </c:pt>
                <c:pt idx="5">
                  <c:v>1.1000000000000001</c:v>
                </c:pt>
              </c:numCache>
            </c:numRef>
          </c:val>
          <c:extLst>
            <c:ext xmlns:c16="http://schemas.microsoft.com/office/drawing/2014/chart" uri="{C3380CC4-5D6E-409C-BE32-E72D297353CC}">
              <c16:uniqueId val="{00000000-37F5-4BEA-9288-398F31AE6DA8}"/>
            </c:ext>
          </c:extLst>
        </c:ser>
        <c:ser>
          <c:idx val="1"/>
          <c:order val="1"/>
          <c:tx>
            <c:strRef>
              <c:f>Лист1!$C$1</c:f>
              <c:strCache>
                <c:ptCount val="1"/>
                <c:pt idx="0">
                  <c:v>Среднегорье</c:v>
                </c:pt>
              </c:strCache>
            </c:strRef>
          </c:tx>
          <c:spPr>
            <a:solidFill>
              <a:schemeClr val="accent2"/>
            </a:solidFill>
            <a:ln>
              <a:noFill/>
            </a:ln>
            <a:effectLst/>
          </c:spPr>
          <c:invertIfNegative val="0"/>
          <c:dLbls>
            <c:spPr>
              <a:noFill/>
              <a:ln>
                <a:noFill/>
              </a:ln>
              <a:effectLst/>
            </c:spPr>
            <c:txPr>
              <a:bodyPr rot="0" vert="horz"/>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Инфильтрация </c:v>
                </c:pt>
                <c:pt idx="1">
                  <c:v>Затемнение полей </c:v>
                </c:pt>
                <c:pt idx="2">
                  <c:v>Усиление легочного рисунка </c:v>
                </c:pt>
                <c:pt idx="3">
                  <c:v>Процентное поражение легких </c:v>
                </c:pt>
                <c:pt idx="4">
                  <c:v>Патология конфигурации сердца </c:v>
                </c:pt>
                <c:pt idx="5">
                  <c:v>Жидкость в плевральной полости </c:v>
                </c:pt>
              </c:strCache>
            </c:strRef>
          </c:cat>
          <c:val>
            <c:numRef>
              <c:f>Лист1!$C$2:$C$7</c:f>
              <c:numCache>
                <c:formatCode>General</c:formatCode>
                <c:ptCount val="6"/>
                <c:pt idx="0">
                  <c:v>24.7</c:v>
                </c:pt>
                <c:pt idx="1">
                  <c:v>15.7</c:v>
                </c:pt>
                <c:pt idx="2">
                  <c:v>10.7</c:v>
                </c:pt>
                <c:pt idx="3">
                  <c:v>19.399999999999999</c:v>
                </c:pt>
                <c:pt idx="4">
                  <c:v>1.7</c:v>
                </c:pt>
                <c:pt idx="5">
                  <c:v>0</c:v>
                </c:pt>
              </c:numCache>
            </c:numRef>
          </c:val>
          <c:extLst>
            <c:ext xmlns:c16="http://schemas.microsoft.com/office/drawing/2014/chart" uri="{C3380CC4-5D6E-409C-BE32-E72D297353CC}">
              <c16:uniqueId val="{00000001-37F5-4BEA-9288-398F31AE6DA8}"/>
            </c:ext>
          </c:extLst>
        </c:ser>
        <c:ser>
          <c:idx val="2"/>
          <c:order val="2"/>
          <c:tx>
            <c:strRef>
              <c:f>Лист1!$D$1</c:f>
              <c:strCache>
                <c:ptCount val="1"/>
                <c:pt idx="0">
                  <c:v>Низкогорье</c:v>
                </c:pt>
              </c:strCache>
            </c:strRef>
          </c:tx>
          <c:spPr>
            <a:solidFill>
              <a:schemeClr val="accent3"/>
            </a:solidFill>
            <a:ln>
              <a:noFill/>
            </a:ln>
            <a:effectLst/>
          </c:spPr>
          <c:invertIfNegative val="0"/>
          <c:dLbls>
            <c:spPr>
              <a:noFill/>
              <a:ln>
                <a:noFill/>
              </a:ln>
              <a:effectLst/>
            </c:spPr>
            <c:txPr>
              <a:bodyPr rot="0" vert="horz"/>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Инфильтрация </c:v>
                </c:pt>
                <c:pt idx="1">
                  <c:v>Затемнение полей </c:v>
                </c:pt>
                <c:pt idx="2">
                  <c:v>Усиление легочного рисунка </c:v>
                </c:pt>
                <c:pt idx="3">
                  <c:v>Процентное поражение легких </c:v>
                </c:pt>
                <c:pt idx="4">
                  <c:v>Патология конфигурации сердца </c:v>
                </c:pt>
                <c:pt idx="5">
                  <c:v>Жидкость в плевральной полости </c:v>
                </c:pt>
              </c:strCache>
            </c:strRef>
          </c:cat>
          <c:val>
            <c:numRef>
              <c:f>Лист1!$D$2:$D$7</c:f>
              <c:numCache>
                <c:formatCode>General</c:formatCode>
                <c:ptCount val="6"/>
                <c:pt idx="0">
                  <c:v>26.2</c:v>
                </c:pt>
                <c:pt idx="1">
                  <c:v>18.2</c:v>
                </c:pt>
                <c:pt idx="2">
                  <c:v>12.9</c:v>
                </c:pt>
                <c:pt idx="3">
                  <c:v>22.3</c:v>
                </c:pt>
                <c:pt idx="4">
                  <c:v>2.9</c:v>
                </c:pt>
                <c:pt idx="5">
                  <c:v>1.6</c:v>
                </c:pt>
              </c:numCache>
            </c:numRef>
          </c:val>
          <c:extLst>
            <c:ext xmlns:c16="http://schemas.microsoft.com/office/drawing/2014/chart" uri="{C3380CC4-5D6E-409C-BE32-E72D297353CC}">
              <c16:uniqueId val="{00000002-37F5-4BEA-9288-398F31AE6DA8}"/>
            </c:ext>
          </c:extLst>
        </c:ser>
        <c:dLbls>
          <c:dLblPos val="ctr"/>
          <c:showLegendKey val="0"/>
          <c:showVal val="1"/>
          <c:showCatName val="0"/>
          <c:showSerName val="0"/>
          <c:showPercent val="0"/>
          <c:showBubbleSize val="0"/>
        </c:dLbls>
        <c:gapWidth val="79"/>
        <c:overlap val="100"/>
        <c:axId val="266292224"/>
        <c:axId val="266294016"/>
      </c:barChart>
      <c:catAx>
        <c:axId val="266292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66294016"/>
        <c:crosses val="autoZero"/>
        <c:auto val="1"/>
        <c:lblAlgn val="ctr"/>
        <c:lblOffset val="100"/>
        <c:noMultiLvlLbl val="0"/>
      </c:catAx>
      <c:valAx>
        <c:axId val="266294016"/>
        <c:scaling>
          <c:orientation val="minMax"/>
        </c:scaling>
        <c:delete val="1"/>
        <c:axPos val="l"/>
        <c:numFmt formatCode="0%" sourceLinked="1"/>
        <c:majorTickMark val="none"/>
        <c:minorTickMark val="none"/>
        <c:tickLblPos val="nextTo"/>
        <c:crossAx val="266292224"/>
        <c:crosses val="autoZero"/>
        <c:crossBetween val="between"/>
      </c:valAx>
      <c:spPr>
        <a:noFill/>
        <a:ln>
          <a:noFill/>
        </a:ln>
        <a:effectLst/>
      </c:spPr>
    </c:plotArea>
    <c:legend>
      <c:legendPos val="t"/>
      <c:overlay val="0"/>
      <c:spPr>
        <a:noFill/>
        <a:ln>
          <a:noFill/>
        </a:ln>
        <a:effectLst/>
      </c:spPr>
      <c:txPr>
        <a:bodyPr rot="0" vert="horz"/>
        <a:lstStyle/>
        <a:p>
          <a:pPr>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Лист1!$B$1</c:f>
              <c:strCache>
                <c:ptCount val="1"/>
                <c:pt idx="0">
                  <c:v>Высокогорье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Патология печени </c:v>
                </c:pt>
                <c:pt idx="1">
                  <c:v>Патология желчного пузыря </c:v>
                </c:pt>
                <c:pt idx="2">
                  <c:v>Патология селезенки </c:v>
                </c:pt>
                <c:pt idx="3">
                  <c:v>Патология почек </c:v>
                </c:pt>
                <c:pt idx="4">
                  <c:v>Патологические измениния на ЭКГ</c:v>
                </c:pt>
              </c:strCache>
            </c:strRef>
          </c:cat>
          <c:val>
            <c:numRef>
              <c:f>Лист1!$B$2:$B$6</c:f>
              <c:numCache>
                <c:formatCode>General</c:formatCode>
                <c:ptCount val="5"/>
                <c:pt idx="0">
                  <c:v>73.8</c:v>
                </c:pt>
                <c:pt idx="1">
                  <c:v>33.799999999999997</c:v>
                </c:pt>
                <c:pt idx="2" formatCode="0.00%">
                  <c:v>3.5000000000000003E-2</c:v>
                </c:pt>
                <c:pt idx="3">
                  <c:v>21.9</c:v>
                </c:pt>
                <c:pt idx="4" formatCode="0.00%">
                  <c:v>0.27600000000000002</c:v>
                </c:pt>
              </c:numCache>
            </c:numRef>
          </c:val>
          <c:extLst>
            <c:ext xmlns:c16="http://schemas.microsoft.com/office/drawing/2014/chart" uri="{C3380CC4-5D6E-409C-BE32-E72D297353CC}">
              <c16:uniqueId val="{00000000-0787-4841-BAAA-5E1E28C32790}"/>
            </c:ext>
          </c:extLst>
        </c:ser>
        <c:ser>
          <c:idx val="1"/>
          <c:order val="1"/>
          <c:tx>
            <c:strRef>
              <c:f>Лист1!$C$1</c:f>
              <c:strCache>
                <c:ptCount val="1"/>
                <c:pt idx="0">
                  <c:v>Среднегорье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Патология печени </c:v>
                </c:pt>
                <c:pt idx="1">
                  <c:v>Патология желчного пузыря </c:v>
                </c:pt>
                <c:pt idx="2">
                  <c:v>Патология селезенки </c:v>
                </c:pt>
                <c:pt idx="3">
                  <c:v>Патология почек </c:v>
                </c:pt>
                <c:pt idx="4">
                  <c:v>Патологические измениния на ЭКГ</c:v>
                </c:pt>
              </c:strCache>
            </c:strRef>
          </c:cat>
          <c:val>
            <c:numRef>
              <c:f>Лист1!$C$2:$C$6</c:f>
              <c:numCache>
                <c:formatCode>General</c:formatCode>
                <c:ptCount val="5"/>
                <c:pt idx="0">
                  <c:v>41.8</c:v>
                </c:pt>
                <c:pt idx="1">
                  <c:v>21.7</c:v>
                </c:pt>
                <c:pt idx="2" formatCode="0.00%">
                  <c:v>1.4999999999999999E-2</c:v>
                </c:pt>
                <c:pt idx="3">
                  <c:v>18.399999999999999</c:v>
                </c:pt>
                <c:pt idx="4" formatCode="0.00%">
                  <c:v>0.16300000000000001</c:v>
                </c:pt>
              </c:numCache>
            </c:numRef>
          </c:val>
          <c:extLst>
            <c:ext xmlns:c16="http://schemas.microsoft.com/office/drawing/2014/chart" uri="{C3380CC4-5D6E-409C-BE32-E72D297353CC}">
              <c16:uniqueId val="{00000001-0787-4841-BAAA-5E1E28C32790}"/>
            </c:ext>
          </c:extLst>
        </c:ser>
        <c:ser>
          <c:idx val="2"/>
          <c:order val="2"/>
          <c:tx>
            <c:strRef>
              <c:f>Лист1!$D$1</c:f>
              <c:strCache>
                <c:ptCount val="1"/>
                <c:pt idx="0">
                  <c:v>Низкогорье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Патология печени </c:v>
                </c:pt>
                <c:pt idx="1">
                  <c:v>Патология желчного пузыря </c:v>
                </c:pt>
                <c:pt idx="2">
                  <c:v>Патология селезенки </c:v>
                </c:pt>
                <c:pt idx="3">
                  <c:v>Патология почек </c:v>
                </c:pt>
                <c:pt idx="4">
                  <c:v>Патологические измениния на ЭКГ</c:v>
                </c:pt>
              </c:strCache>
            </c:strRef>
          </c:cat>
          <c:val>
            <c:numRef>
              <c:f>Лист1!$D$2:$D$6</c:f>
              <c:numCache>
                <c:formatCode>General</c:formatCode>
                <c:ptCount val="5"/>
                <c:pt idx="0">
                  <c:v>61.4</c:v>
                </c:pt>
                <c:pt idx="1">
                  <c:v>25.3</c:v>
                </c:pt>
                <c:pt idx="2">
                  <c:v>0</c:v>
                </c:pt>
                <c:pt idx="3">
                  <c:v>13.2</c:v>
                </c:pt>
                <c:pt idx="4" formatCode="0.00%">
                  <c:v>0.189</c:v>
                </c:pt>
              </c:numCache>
            </c:numRef>
          </c:val>
          <c:extLst>
            <c:ext xmlns:c16="http://schemas.microsoft.com/office/drawing/2014/chart" uri="{C3380CC4-5D6E-409C-BE32-E72D297353CC}">
              <c16:uniqueId val="{00000002-0787-4841-BAAA-5E1E28C32790}"/>
            </c:ext>
          </c:extLst>
        </c:ser>
        <c:dLbls>
          <c:dLblPos val="ctr"/>
          <c:showLegendKey val="0"/>
          <c:showVal val="1"/>
          <c:showCatName val="0"/>
          <c:showSerName val="0"/>
          <c:showPercent val="0"/>
          <c:showBubbleSize val="0"/>
        </c:dLbls>
        <c:gapWidth val="79"/>
        <c:overlap val="100"/>
        <c:axId val="266315264"/>
        <c:axId val="266316800"/>
      </c:barChart>
      <c:catAx>
        <c:axId val="266315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ru-RU"/>
          </a:p>
        </c:txPr>
        <c:crossAx val="266316800"/>
        <c:crosses val="autoZero"/>
        <c:auto val="1"/>
        <c:lblAlgn val="ctr"/>
        <c:lblOffset val="100"/>
        <c:noMultiLvlLbl val="0"/>
      </c:catAx>
      <c:valAx>
        <c:axId val="266316800"/>
        <c:scaling>
          <c:orientation val="minMax"/>
        </c:scaling>
        <c:delete val="1"/>
        <c:axPos val="l"/>
        <c:numFmt formatCode="0%" sourceLinked="1"/>
        <c:majorTickMark val="none"/>
        <c:minorTickMark val="none"/>
        <c:tickLblPos val="nextTo"/>
        <c:crossAx val="2663152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Лист1!$B$1</c:f>
              <c:strCache>
                <c:ptCount val="1"/>
                <c:pt idx="0">
                  <c:v>Высокогорье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Инфузионная терапия </c:v>
                </c:pt>
                <c:pt idx="1">
                  <c:v>Антиагрегантная терапия </c:v>
                </c:pt>
                <c:pt idx="2">
                  <c:v>Антибиотикотерапия</c:v>
                </c:pt>
                <c:pt idx="3">
                  <c:v>Антикоагуляционная терапия </c:v>
                </c:pt>
                <c:pt idx="4">
                  <c:v>Смена терапевтического подхода </c:v>
                </c:pt>
                <c:pt idx="5">
                  <c:v>Оксигенотерапия </c:v>
                </c:pt>
                <c:pt idx="6">
                  <c:v>Применение гормональной терапии</c:v>
                </c:pt>
                <c:pt idx="7">
                  <c:v>Симтоматическая терапия COVID-19 (в том числе антипиретическая терапия)</c:v>
                </c:pt>
                <c:pt idx="8">
                  <c:v>Смена в подходе терапии сопутствующих  хронических патологии </c:v>
                </c:pt>
              </c:strCache>
            </c:strRef>
          </c:cat>
          <c:val>
            <c:numRef>
              <c:f>Лист1!$B$2:$B$10</c:f>
              <c:numCache>
                <c:formatCode>General</c:formatCode>
                <c:ptCount val="9"/>
                <c:pt idx="0">
                  <c:v>77.099999999999994</c:v>
                </c:pt>
                <c:pt idx="1">
                  <c:v>93.7</c:v>
                </c:pt>
                <c:pt idx="2">
                  <c:v>61.8</c:v>
                </c:pt>
                <c:pt idx="3">
                  <c:v>21.4</c:v>
                </c:pt>
                <c:pt idx="4">
                  <c:v>22.5</c:v>
                </c:pt>
                <c:pt idx="5">
                  <c:v>61.7</c:v>
                </c:pt>
                <c:pt idx="6">
                  <c:v>41.7</c:v>
                </c:pt>
                <c:pt idx="7">
                  <c:v>97.3</c:v>
                </c:pt>
                <c:pt idx="8">
                  <c:v>20.9</c:v>
                </c:pt>
              </c:numCache>
            </c:numRef>
          </c:val>
          <c:extLst>
            <c:ext xmlns:c16="http://schemas.microsoft.com/office/drawing/2014/chart" uri="{C3380CC4-5D6E-409C-BE32-E72D297353CC}">
              <c16:uniqueId val="{00000000-E773-4140-AF30-265E0D615DD3}"/>
            </c:ext>
          </c:extLst>
        </c:ser>
        <c:ser>
          <c:idx val="1"/>
          <c:order val="1"/>
          <c:tx>
            <c:strRef>
              <c:f>Лист1!$C$1</c:f>
              <c:strCache>
                <c:ptCount val="1"/>
                <c:pt idx="0">
                  <c:v>Среднегорье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Инфузионная терапия </c:v>
                </c:pt>
                <c:pt idx="1">
                  <c:v>Антиагрегантная терапия </c:v>
                </c:pt>
                <c:pt idx="2">
                  <c:v>Антибиотикотерапия</c:v>
                </c:pt>
                <c:pt idx="3">
                  <c:v>Антикоагуляционная терапия </c:v>
                </c:pt>
                <c:pt idx="4">
                  <c:v>Смена терапевтического подхода </c:v>
                </c:pt>
                <c:pt idx="5">
                  <c:v>Оксигенотерапия </c:v>
                </c:pt>
                <c:pt idx="6">
                  <c:v>Применение гормональной терапии</c:v>
                </c:pt>
                <c:pt idx="7">
                  <c:v>Симтоматическая терапия COVID-19 (в том числе антипиретическая терапия)</c:v>
                </c:pt>
                <c:pt idx="8">
                  <c:v>Смена в подходе терапии сопутствующих  хронических патологии </c:v>
                </c:pt>
              </c:strCache>
            </c:strRef>
          </c:cat>
          <c:val>
            <c:numRef>
              <c:f>Лист1!$C$2:$C$10</c:f>
              <c:numCache>
                <c:formatCode>General</c:formatCode>
                <c:ptCount val="9"/>
                <c:pt idx="0">
                  <c:v>79.2</c:v>
                </c:pt>
                <c:pt idx="1">
                  <c:v>80.099999999999994</c:v>
                </c:pt>
                <c:pt idx="2">
                  <c:v>42.6</c:v>
                </c:pt>
                <c:pt idx="3">
                  <c:v>18.7</c:v>
                </c:pt>
                <c:pt idx="4">
                  <c:v>20.7</c:v>
                </c:pt>
                <c:pt idx="5">
                  <c:v>38.200000000000003</c:v>
                </c:pt>
                <c:pt idx="6">
                  <c:v>31.7</c:v>
                </c:pt>
                <c:pt idx="7">
                  <c:v>91.6</c:v>
                </c:pt>
                <c:pt idx="8">
                  <c:v>19.399999999999999</c:v>
                </c:pt>
              </c:numCache>
            </c:numRef>
          </c:val>
          <c:extLst>
            <c:ext xmlns:c16="http://schemas.microsoft.com/office/drawing/2014/chart" uri="{C3380CC4-5D6E-409C-BE32-E72D297353CC}">
              <c16:uniqueId val="{00000001-E773-4140-AF30-265E0D615DD3}"/>
            </c:ext>
          </c:extLst>
        </c:ser>
        <c:ser>
          <c:idx val="2"/>
          <c:order val="2"/>
          <c:tx>
            <c:strRef>
              <c:f>Лист1!$D$1</c:f>
              <c:strCache>
                <c:ptCount val="1"/>
                <c:pt idx="0">
                  <c:v>Низкогорье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Инфузионная терапия </c:v>
                </c:pt>
                <c:pt idx="1">
                  <c:v>Антиагрегантная терапия </c:v>
                </c:pt>
                <c:pt idx="2">
                  <c:v>Антибиотикотерапия</c:v>
                </c:pt>
                <c:pt idx="3">
                  <c:v>Антикоагуляционная терапия </c:v>
                </c:pt>
                <c:pt idx="4">
                  <c:v>Смена терапевтического подхода </c:v>
                </c:pt>
                <c:pt idx="5">
                  <c:v>Оксигенотерапия </c:v>
                </c:pt>
                <c:pt idx="6">
                  <c:v>Применение гормональной терапии</c:v>
                </c:pt>
                <c:pt idx="7">
                  <c:v>Симтоматическая терапия COVID-19 (в том числе антипиретическая терапия)</c:v>
                </c:pt>
                <c:pt idx="8">
                  <c:v>Смена в подходе терапии сопутствующих  хронических патологии </c:v>
                </c:pt>
              </c:strCache>
            </c:strRef>
          </c:cat>
          <c:val>
            <c:numRef>
              <c:f>Лист1!$D$2:$D$10</c:f>
              <c:numCache>
                <c:formatCode>General</c:formatCode>
                <c:ptCount val="9"/>
                <c:pt idx="0">
                  <c:v>87.4</c:v>
                </c:pt>
                <c:pt idx="1">
                  <c:v>82.7</c:v>
                </c:pt>
                <c:pt idx="2">
                  <c:v>32.799999999999997</c:v>
                </c:pt>
                <c:pt idx="3">
                  <c:v>27.5</c:v>
                </c:pt>
                <c:pt idx="4">
                  <c:v>31.4</c:v>
                </c:pt>
                <c:pt idx="5">
                  <c:v>44.2</c:v>
                </c:pt>
                <c:pt idx="6">
                  <c:v>21.8</c:v>
                </c:pt>
                <c:pt idx="7">
                  <c:v>85.7</c:v>
                </c:pt>
                <c:pt idx="8">
                  <c:v>21.3</c:v>
                </c:pt>
              </c:numCache>
            </c:numRef>
          </c:val>
          <c:extLst>
            <c:ext xmlns:c16="http://schemas.microsoft.com/office/drawing/2014/chart" uri="{C3380CC4-5D6E-409C-BE32-E72D297353CC}">
              <c16:uniqueId val="{00000002-E773-4140-AF30-265E0D615DD3}"/>
            </c:ext>
          </c:extLst>
        </c:ser>
        <c:dLbls>
          <c:dLblPos val="ctr"/>
          <c:showLegendKey val="0"/>
          <c:showVal val="1"/>
          <c:showCatName val="0"/>
          <c:showSerName val="0"/>
          <c:showPercent val="0"/>
          <c:showBubbleSize val="0"/>
        </c:dLbls>
        <c:gapWidth val="79"/>
        <c:overlap val="100"/>
        <c:axId val="266395648"/>
        <c:axId val="266397184"/>
      </c:barChart>
      <c:catAx>
        <c:axId val="266395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b" anchorCtr="0"/>
          <a:lstStyle/>
          <a:p>
            <a:pPr>
              <a:defRPr sz="800" b="0" i="0" u="none" strike="noStrike" kern="1200" cap="all" spc="120" normalizeH="0" baseline="0">
                <a:ln>
                  <a:noFill/>
                </a:ln>
                <a:solidFill>
                  <a:sysClr val="windowText" lastClr="000000"/>
                </a:solidFill>
                <a:latin typeface="+mn-lt"/>
                <a:ea typeface="+mn-ea"/>
                <a:cs typeface="+mn-cs"/>
              </a:defRPr>
            </a:pPr>
            <a:endParaRPr lang="ru-RU"/>
          </a:p>
        </c:txPr>
        <c:crossAx val="266397184"/>
        <c:crosses val="autoZero"/>
        <c:auto val="1"/>
        <c:lblAlgn val="ctr"/>
        <c:lblOffset val="100"/>
        <c:noMultiLvlLbl val="0"/>
      </c:catAx>
      <c:valAx>
        <c:axId val="266397184"/>
        <c:scaling>
          <c:orientation val="minMax"/>
        </c:scaling>
        <c:delete val="1"/>
        <c:axPos val="l"/>
        <c:numFmt formatCode="0%" sourceLinked="1"/>
        <c:majorTickMark val="none"/>
        <c:minorTickMark val="none"/>
        <c:tickLblPos val="nextTo"/>
        <c:crossAx val="266395648"/>
        <c:crosses val="autoZero"/>
        <c:crossBetween val="between"/>
      </c:valAx>
      <c:spPr>
        <a:noFill/>
        <a:ln>
          <a:noFill/>
        </a:ln>
        <a:effectLst/>
      </c:spPr>
    </c:plotArea>
    <c:legend>
      <c:legendPos val="t"/>
      <c:layout>
        <c:manualLayout>
          <c:xMode val="edge"/>
          <c:yMode val="edge"/>
          <c:x val="0.29897200349956254"/>
          <c:y val="1.8853695324283559E-2"/>
          <c:w val="0.39833060736874404"/>
          <c:h val="5.085930714356908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rot="3600000"/>
    <a:lstStyle/>
    <a:p>
      <a:pPr algn="just">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I(17-25лет)</c:v>
                </c:pt>
                <c:pt idx="1">
                  <c:v>II(26-35лет)</c:v>
                </c:pt>
                <c:pt idx="2">
                  <c:v>III(36-45лет)</c:v>
                </c:pt>
                <c:pt idx="3">
                  <c:v>IV(46-54лет)</c:v>
                </c:pt>
                <c:pt idx="4">
                  <c:v>V(55-64лет)</c:v>
                </c:pt>
                <c:pt idx="5">
                  <c:v>VI( свыше 65 лет)</c:v>
                </c:pt>
              </c:strCache>
            </c:strRef>
          </c:cat>
          <c:val>
            <c:numRef>
              <c:f>Лист1!$B$2:$B$7</c:f>
              <c:numCache>
                <c:formatCode>General</c:formatCode>
                <c:ptCount val="6"/>
                <c:pt idx="0">
                  <c:v>4.4000000000000004</c:v>
                </c:pt>
                <c:pt idx="1">
                  <c:v>15.6</c:v>
                </c:pt>
                <c:pt idx="2">
                  <c:v>20.100000000000001</c:v>
                </c:pt>
                <c:pt idx="3">
                  <c:v>50</c:v>
                </c:pt>
                <c:pt idx="4">
                  <c:v>35.5</c:v>
                </c:pt>
                <c:pt idx="5">
                  <c:v>80.2</c:v>
                </c:pt>
              </c:numCache>
            </c:numRef>
          </c:val>
          <c:extLst>
            <c:ext xmlns:c16="http://schemas.microsoft.com/office/drawing/2014/chart" uri="{C3380CC4-5D6E-409C-BE32-E72D297353CC}">
              <c16:uniqueId val="{00000000-56C5-4F5C-9F0B-7E8BB11C3EAA}"/>
            </c:ext>
          </c:extLst>
        </c:ser>
        <c:dLbls>
          <c:dLblPos val="outEnd"/>
          <c:showLegendKey val="0"/>
          <c:showVal val="1"/>
          <c:showCatName val="0"/>
          <c:showSerName val="0"/>
          <c:showPercent val="0"/>
          <c:showBubbleSize val="0"/>
        </c:dLbls>
        <c:gapWidth val="219"/>
        <c:overlap val="-27"/>
        <c:axId val="266413952"/>
        <c:axId val="266416896"/>
      </c:barChart>
      <c:catAx>
        <c:axId val="26641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416896"/>
        <c:crosses val="autoZero"/>
        <c:auto val="1"/>
        <c:lblAlgn val="ctr"/>
        <c:lblOffset val="100"/>
        <c:noMultiLvlLbl val="0"/>
      </c:catAx>
      <c:valAx>
        <c:axId val="2664168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664139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Лист1!$J$144</c:f>
              <c:strCache>
                <c:ptCount val="1"/>
                <c:pt idx="0">
                  <c:v>Кыргызстан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Лист1!$K$143:$O$143</c:f>
              <c:strCache>
                <c:ptCount val="5"/>
                <c:pt idx="0">
                  <c:v>самоизоляция</c:v>
                </c:pt>
                <c:pt idx="1">
                  <c:v>самоизоляция и меры личной гигиены</c:v>
                </c:pt>
                <c:pt idx="2">
                  <c:v>самоизоляция меры личной гигены здоровое питание</c:v>
                </c:pt>
                <c:pt idx="3">
                  <c:v>Только меры личной гигиены</c:v>
                </c:pt>
                <c:pt idx="4">
                  <c:v>не использую</c:v>
                </c:pt>
              </c:strCache>
            </c:strRef>
          </c:cat>
          <c:val>
            <c:numRef>
              <c:f>Лист1!$K$144:$O$144</c:f>
              <c:numCache>
                <c:formatCode>####%</c:formatCode>
                <c:ptCount val="5"/>
                <c:pt idx="0">
                  <c:v>5.7632398753894074E-2</c:v>
                </c:pt>
                <c:pt idx="1">
                  <c:v>0.27725856697819312</c:v>
                </c:pt>
                <c:pt idx="2">
                  <c:v>0.28348909657320881</c:v>
                </c:pt>
                <c:pt idx="3">
                  <c:v>0.35669781931464201</c:v>
                </c:pt>
                <c:pt idx="4">
                  <c:v>2.1806853582554537E-2</c:v>
                </c:pt>
              </c:numCache>
            </c:numRef>
          </c:val>
          <c:extLst>
            <c:ext xmlns:c16="http://schemas.microsoft.com/office/drawing/2014/chart" uri="{C3380CC4-5D6E-409C-BE32-E72D297353CC}">
              <c16:uniqueId val="{00000000-099D-457A-8331-E584AECAD463}"/>
            </c:ext>
          </c:extLst>
        </c:ser>
        <c:dLbls>
          <c:showLegendKey val="0"/>
          <c:showVal val="1"/>
          <c:showCatName val="0"/>
          <c:showSerName val="0"/>
          <c:showPercent val="0"/>
          <c:showBubbleSize val="0"/>
        </c:dLbls>
        <c:gapWidth val="219"/>
        <c:overlap val="-27"/>
        <c:axId val="266486144"/>
        <c:axId val="266488832"/>
      </c:barChart>
      <c:catAx>
        <c:axId val="266486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66488832"/>
        <c:crosses val="autoZero"/>
        <c:auto val="1"/>
        <c:lblAlgn val="ctr"/>
        <c:lblOffset val="100"/>
        <c:noMultiLvlLbl val="0"/>
      </c:catAx>
      <c:valAx>
        <c:axId val="266488832"/>
        <c:scaling>
          <c:orientation val="minMax"/>
        </c:scaling>
        <c:delete val="1"/>
        <c:axPos val="l"/>
        <c:numFmt formatCode="####%" sourceLinked="1"/>
        <c:majorTickMark val="out"/>
        <c:minorTickMark val="none"/>
        <c:tickLblPos val="nextTo"/>
        <c:crossAx val="26648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Откуда</a:t>
            </a:r>
            <a:r>
              <a:rPr lang="ru-RU" baseline="0">
                <a:solidFill>
                  <a:sysClr val="windowText" lastClr="000000"/>
                </a:solidFill>
              </a:rPr>
              <a:t> </a:t>
            </a:r>
            <a:r>
              <a:rPr lang="ru-RU">
                <a:solidFill>
                  <a:sysClr val="windowText" lastClr="000000"/>
                </a:solidFill>
              </a:rPr>
              <a:t>чаще всего вы получаете информацию о </a:t>
            </a:r>
            <a:r>
              <a:rPr lang="en-US">
                <a:solidFill>
                  <a:sysClr val="windowText" lastClr="000000"/>
                </a:solidFill>
              </a:rPr>
              <a:t>COVID-19?</a:t>
            </a:r>
            <a:endParaRPr lang="ru-RU">
              <a:solidFill>
                <a:sysClr val="windowText" lastClr="000000"/>
              </a:solidFill>
            </a:endParaRPr>
          </a:p>
        </c:rich>
      </c:tx>
      <c:overlay val="0"/>
      <c:spPr>
        <a:noFill/>
        <a:ln>
          <a:noFill/>
        </a:ln>
        <a:effectLst/>
      </c:spPr>
    </c:title>
    <c:autoTitleDeleted val="0"/>
    <c:plotArea>
      <c:layout/>
      <c:barChart>
        <c:barDir val="bar"/>
        <c:grouping val="clustered"/>
        <c:varyColors val="0"/>
        <c:ser>
          <c:idx val="0"/>
          <c:order val="0"/>
          <c:tx>
            <c:strRef>
              <c:f>Лист1!$K$180</c:f>
              <c:strCache>
                <c:ptCount val="1"/>
                <c:pt idx="0">
                  <c:v>Кыргызстан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Лист1!$L$179:$Q$179</c:f>
              <c:strCache>
                <c:ptCount val="6"/>
                <c:pt idx="0">
                  <c:v>Новостные порталы</c:v>
                </c:pt>
                <c:pt idx="1">
                  <c:v>Телевиденье/радио</c:v>
                </c:pt>
                <c:pt idx="2">
                  <c:v>Социальные сети</c:v>
                </c:pt>
                <c:pt idx="3">
                  <c:v>От других людей (родственники, друзья)</c:v>
                </c:pt>
                <c:pt idx="4">
                  <c:v>не интересуюсь</c:v>
                </c:pt>
                <c:pt idx="5">
                  <c:v>другое</c:v>
                </c:pt>
              </c:strCache>
            </c:strRef>
          </c:cat>
          <c:val>
            <c:numRef>
              <c:f>Лист1!$L$180:$Q$180</c:f>
              <c:numCache>
                <c:formatCode>###0%</c:formatCode>
                <c:ptCount val="6"/>
                <c:pt idx="0">
                  <c:v>0.21360759493670886</c:v>
                </c:pt>
                <c:pt idx="1">
                  <c:v>3.3227848101265819E-2</c:v>
                </c:pt>
                <c:pt idx="2">
                  <c:v>0.68037974683544311</c:v>
                </c:pt>
                <c:pt idx="3">
                  <c:v>5.5379746835443049E-2</c:v>
                </c:pt>
                <c:pt idx="4">
                  <c:v>9.4936708860759531E-3</c:v>
                </c:pt>
                <c:pt idx="5">
                  <c:v>7.9113924050632986E-3</c:v>
                </c:pt>
              </c:numCache>
            </c:numRef>
          </c:val>
          <c:extLst>
            <c:ext xmlns:c16="http://schemas.microsoft.com/office/drawing/2014/chart" uri="{C3380CC4-5D6E-409C-BE32-E72D297353CC}">
              <c16:uniqueId val="{00000000-B2BE-4B19-B14A-4FBA8FBF1511}"/>
            </c:ext>
          </c:extLst>
        </c:ser>
        <c:dLbls>
          <c:showLegendKey val="0"/>
          <c:showVal val="1"/>
          <c:showCatName val="0"/>
          <c:showSerName val="0"/>
          <c:showPercent val="0"/>
          <c:showBubbleSize val="0"/>
        </c:dLbls>
        <c:gapWidth val="182"/>
        <c:axId val="266500736"/>
        <c:axId val="266511872"/>
      </c:barChart>
      <c:catAx>
        <c:axId val="266500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66511872"/>
        <c:crosses val="autoZero"/>
        <c:auto val="1"/>
        <c:lblAlgn val="ctr"/>
        <c:lblOffset val="100"/>
        <c:noMultiLvlLbl val="0"/>
      </c:catAx>
      <c:valAx>
        <c:axId val="26651187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6650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582677165354329E-2"/>
          <c:y val="5.0925925925925923E-2"/>
          <c:w val="0.90841732283464571"/>
          <c:h val="0.5856266404199475"/>
        </c:manualLayout>
      </c:layout>
      <c:barChart>
        <c:barDir val="col"/>
        <c:grouping val="clustered"/>
        <c:varyColors val="0"/>
        <c:ser>
          <c:idx val="0"/>
          <c:order val="0"/>
          <c:tx>
            <c:strRef>
              <c:f>Лист1!$A$3</c:f>
              <c:strCache>
                <c:ptCount val="1"/>
                <c:pt idx="0">
                  <c:v>низкий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Лист1!$B$2:$G$2</c:f>
              <c:strCache>
                <c:ptCount val="6"/>
                <c:pt idx="0">
                  <c:v>Новостные порталы</c:v>
                </c:pt>
                <c:pt idx="1">
                  <c:v>Телевиденье/радио</c:v>
                </c:pt>
                <c:pt idx="2">
                  <c:v>Социальные сети</c:v>
                </c:pt>
                <c:pt idx="3">
                  <c:v>От других людей (родственники, друзья)</c:v>
                </c:pt>
                <c:pt idx="4">
                  <c:v>не интересуюсь</c:v>
                </c:pt>
                <c:pt idx="5">
                  <c:v>другое</c:v>
                </c:pt>
              </c:strCache>
            </c:strRef>
          </c:cat>
          <c:val>
            <c:numRef>
              <c:f>Лист1!$B$3:$G$3</c:f>
              <c:numCache>
                <c:formatCode>###0%</c:formatCode>
                <c:ptCount val="6"/>
                <c:pt idx="0">
                  <c:v>0.34782608695652173</c:v>
                </c:pt>
                <c:pt idx="1">
                  <c:v>3.4782608695652174E-2</c:v>
                </c:pt>
                <c:pt idx="2">
                  <c:v>0.46086956521739131</c:v>
                </c:pt>
                <c:pt idx="3">
                  <c:v>9.5652173913043481E-2</c:v>
                </c:pt>
                <c:pt idx="4">
                  <c:v>6.0869565217391307E-2</c:v>
                </c:pt>
                <c:pt idx="5">
                  <c:v>0</c:v>
                </c:pt>
              </c:numCache>
            </c:numRef>
          </c:val>
          <c:extLst>
            <c:ext xmlns:c16="http://schemas.microsoft.com/office/drawing/2014/chart" uri="{C3380CC4-5D6E-409C-BE32-E72D297353CC}">
              <c16:uniqueId val="{00000000-045C-4F52-A87A-2E4F154DF756}"/>
            </c:ext>
          </c:extLst>
        </c:ser>
        <c:ser>
          <c:idx val="1"/>
          <c:order val="1"/>
          <c:tx>
            <c:strRef>
              <c:f>Лист1!$A$4</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Лист1!$B$2:$G$2</c:f>
              <c:strCache>
                <c:ptCount val="6"/>
                <c:pt idx="0">
                  <c:v>Новостные порталы</c:v>
                </c:pt>
                <c:pt idx="1">
                  <c:v>Телевиденье/радио</c:v>
                </c:pt>
                <c:pt idx="2">
                  <c:v>Социальные сети</c:v>
                </c:pt>
                <c:pt idx="3">
                  <c:v>От других людей (родственники, друзья)</c:v>
                </c:pt>
                <c:pt idx="4">
                  <c:v>не интересуюсь</c:v>
                </c:pt>
                <c:pt idx="5">
                  <c:v>другое</c:v>
                </c:pt>
              </c:strCache>
            </c:strRef>
          </c:cat>
          <c:val>
            <c:numRef>
              <c:f>Лист1!$B$4:$G$4</c:f>
              <c:numCache>
                <c:formatCode>###0%</c:formatCode>
                <c:ptCount val="6"/>
                <c:pt idx="0">
                  <c:v>0.25153374233128833</c:v>
                </c:pt>
                <c:pt idx="1">
                  <c:v>5.8282208588957045E-2</c:v>
                </c:pt>
                <c:pt idx="2">
                  <c:v>0.57975460122699385</c:v>
                </c:pt>
                <c:pt idx="3">
                  <c:v>7.3619631901840496E-2</c:v>
                </c:pt>
                <c:pt idx="4">
                  <c:v>1.2269938650306749E-2</c:v>
                </c:pt>
                <c:pt idx="5">
                  <c:v>2.4539877300613498E-2</c:v>
                </c:pt>
              </c:numCache>
            </c:numRef>
          </c:val>
          <c:extLst>
            <c:ext xmlns:c16="http://schemas.microsoft.com/office/drawing/2014/chart" uri="{C3380CC4-5D6E-409C-BE32-E72D297353CC}">
              <c16:uniqueId val="{00000001-045C-4F52-A87A-2E4F154DF756}"/>
            </c:ext>
          </c:extLst>
        </c:ser>
        <c:ser>
          <c:idx val="2"/>
          <c:order val="2"/>
          <c:tx>
            <c:strRef>
              <c:f>Лист1!$A$5</c:f>
              <c:strCache>
                <c:ptCount val="1"/>
                <c:pt idx="0">
                  <c:v>высокий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Лист1!$B$2:$G$2</c:f>
              <c:strCache>
                <c:ptCount val="6"/>
                <c:pt idx="0">
                  <c:v>Новостные порталы</c:v>
                </c:pt>
                <c:pt idx="1">
                  <c:v>Телевиденье/радио</c:v>
                </c:pt>
                <c:pt idx="2">
                  <c:v>Социальные сети</c:v>
                </c:pt>
                <c:pt idx="3">
                  <c:v>От других людей (родственники, друзья)</c:v>
                </c:pt>
                <c:pt idx="4">
                  <c:v>не интересуюсь</c:v>
                </c:pt>
                <c:pt idx="5">
                  <c:v>другое</c:v>
                </c:pt>
              </c:strCache>
            </c:strRef>
          </c:cat>
          <c:val>
            <c:numRef>
              <c:f>Лист1!$B$5:$G$5</c:f>
              <c:numCache>
                <c:formatCode>###0%</c:formatCode>
                <c:ptCount val="6"/>
                <c:pt idx="0">
                  <c:v>0.20474777448071216</c:v>
                </c:pt>
                <c:pt idx="1">
                  <c:v>6.5281899109792291E-2</c:v>
                </c:pt>
                <c:pt idx="2">
                  <c:v>0.70326409495548958</c:v>
                </c:pt>
                <c:pt idx="3">
                  <c:v>8.9020771513353119E-3</c:v>
                </c:pt>
                <c:pt idx="4">
                  <c:v>1.1869436201780416E-2</c:v>
                </c:pt>
                <c:pt idx="5">
                  <c:v>5.9347181008902079E-3</c:v>
                </c:pt>
              </c:numCache>
            </c:numRef>
          </c:val>
          <c:extLst>
            <c:ext xmlns:c16="http://schemas.microsoft.com/office/drawing/2014/chart" uri="{C3380CC4-5D6E-409C-BE32-E72D297353CC}">
              <c16:uniqueId val="{00000002-045C-4F52-A87A-2E4F154DF756}"/>
            </c:ext>
          </c:extLst>
        </c:ser>
        <c:dLbls>
          <c:dLblPos val="outEnd"/>
          <c:showLegendKey val="0"/>
          <c:showVal val="1"/>
          <c:showCatName val="0"/>
          <c:showSerName val="0"/>
          <c:showPercent val="0"/>
          <c:showBubbleSize val="0"/>
        </c:dLbls>
        <c:gapWidth val="219"/>
        <c:overlap val="-27"/>
        <c:axId val="266532736"/>
        <c:axId val="266534272"/>
      </c:barChart>
      <c:catAx>
        <c:axId val="2665327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66534272"/>
        <c:crosses val="autoZero"/>
        <c:auto val="1"/>
        <c:lblAlgn val="ctr"/>
        <c:lblOffset val="100"/>
        <c:noMultiLvlLbl val="0"/>
      </c:catAx>
      <c:valAx>
        <c:axId val="266534272"/>
        <c:scaling>
          <c:orientation val="minMax"/>
        </c:scaling>
        <c:delete val="1"/>
        <c:axPos val="l"/>
        <c:numFmt formatCode="###0%" sourceLinked="1"/>
        <c:majorTickMark val="out"/>
        <c:minorTickMark val="none"/>
        <c:tickLblPos val="nextTo"/>
        <c:crossAx val="26653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Другая 2">
    <a:dk1>
      <a:sysClr val="windowText" lastClr="000000"/>
    </a:dk1>
    <a:lt1>
      <a:sysClr val="window" lastClr="FFFFFF"/>
    </a:lt1>
    <a:dk2>
      <a:srgbClr val="44546A"/>
    </a:dk2>
    <a:lt2>
      <a:srgbClr val="E7E6E6"/>
    </a:lt2>
    <a:accent1>
      <a:srgbClr val="0070C0"/>
    </a:accent1>
    <a:accent2>
      <a:srgbClr val="FF0000"/>
    </a:accent2>
    <a:accent3>
      <a:srgbClr val="00B050"/>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Другая 2">
    <a:dk1>
      <a:sysClr val="windowText" lastClr="000000"/>
    </a:dk1>
    <a:lt1>
      <a:sysClr val="window" lastClr="FFFFFF"/>
    </a:lt1>
    <a:dk2>
      <a:srgbClr val="44546A"/>
    </a:dk2>
    <a:lt2>
      <a:srgbClr val="E7E6E6"/>
    </a:lt2>
    <a:accent1>
      <a:srgbClr val="0070C0"/>
    </a:accent1>
    <a:accent2>
      <a:srgbClr val="FF0000"/>
    </a:accent2>
    <a:accent3>
      <a:srgbClr val="00B050"/>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Другая 2">
    <a:dk1>
      <a:sysClr val="windowText" lastClr="000000"/>
    </a:dk1>
    <a:lt1>
      <a:sysClr val="window" lastClr="FFFFFF"/>
    </a:lt1>
    <a:dk2>
      <a:srgbClr val="44546A"/>
    </a:dk2>
    <a:lt2>
      <a:srgbClr val="E7E6E6"/>
    </a:lt2>
    <a:accent1>
      <a:srgbClr val="0070C0"/>
    </a:accent1>
    <a:accent2>
      <a:srgbClr val="FF0000"/>
    </a:accent2>
    <a:accent3>
      <a:srgbClr val="00B050"/>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1D4D4-9AB9-4787-A9EC-CB2716937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136</Pages>
  <Words>30463</Words>
  <Characters>173643</Characters>
  <Application>Microsoft Office Word</Application>
  <DocSecurity>0</DocSecurity>
  <Lines>1447</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aibek1022@outlook.com</dc:creator>
  <cp:keywords/>
  <dc:description/>
  <cp:lastModifiedBy>aibek1022@outlook.com</cp:lastModifiedBy>
  <cp:revision>21</cp:revision>
  <cp:lastPrinted>2024-01-07T19:04:00Z</cp:lastPrinted>
  <dcterms:created xsi:type="dcterms:W3CDTF">2024-11-17T11:49:00Z</dcterms:created>
  <dcterms:modified xsi:type="dcterms:W3CDTF">2024-12-11T11:52:00Z</dcterms:modified>
</cp:coreProperties>
</file>